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677" w:rsidRPr="00CC7677" w:rsidRDefault="00CC7677" w:rsidP="00CC7677">
      <w:pPr>
        <w:spacing w:after="0" w:line="276" w:lineRule="auto"/>
        <w:ind w:firstLine="708"/>
        <w:jc w:val="both"/>
        <w:rPr>
          <w:rFonts w:ascii="Times New Roman" w:eastAsia="Calibri" w:hAnsi="Times New Roman" w:cs="Times New Roman"/>
          <w:sz w:val="24"/>
          <w:szCs w:val="24"/>
        </w:rPr>
      </w:pPr>
      <w:r w:rsidRPr="00CC7677">
        <w:rPr>
          <w:rFonts w:ascii="Times New Roman" w:eastAsia="Calibri" w:hAnsi="Times New Roman" w:cs="Times New Roman"/>
          <w:sz w:val="24"/>
          <w:szCs w:val="24"/>
        </w:rPr>
        <w:t>Na temelju članka 32. Statuta Grada Šibenika ("Službeni glasnik Grada Šibenika" br.</w:t>
      </w:r>
      <w:r w:rsidRPr="00CC7677">
        <w:rPr>
          <w:rFonts w:ascii="Calibri" w:eastAsia="Calibri" w:hAnsi="Calibri" w:cs="Times New Roman"/>
          <w:szCs w:val="24"/>
        </w:rPr>
        <w:t xml:space="preserve"> </w:t>
      </w:r>
      <w:r w:rsidRPr="00CC7677">
        <w:rPr>
          <w:rFonts w:ascii="Times New Roman" w:eastAsia="Calibri" w:hAnsi="Times New Roman" w:cs="Times New Roman"/>
          <w:sz w:val="24"/>
          <w:szCs w:val="24"/>
        </w:rPr>
        <w:t>8/10, 5/12, 2/13</w:t>
      </w:r>
      <w:r w:rsidR="00C4489D">
        <w:rPr>
          <w:rFonts w:ascii="Times New Roman" w:eastAsia="Calibri" w:hAnsi="Times New Roman" w:cs="Times New Roman"/>
          <w:sz w:val="24"/>
          <w:szCs w:val="24"/>
        </w:rPr>
        <w:t xml:space="preserve">, </w:t>
      </w:r>
      <w:r w:rsidRPr="00CC7677">
        <w:rPr>
          <w:rFonts w:ascii="Times New Roman" w:eastAsia="Calibri" w:hAnsi="Times New Roman" w:cs="Times New Roman"/>
          <w:sz w:val="24"/>
          <w:szCs w:val="24"/>
        </w:rPr>
        <w:t>2/18</w:t>
      </w:r>
      <w:r w:rsidR="00C4489D">
        <w:rPr>
          <w:rFonts w:ascii="Times New Roman" w:eastAsia="Calibri" w:hAnsi="Times New Roman" w:cs="Times New Roman"/>
          <w:sz w:val="24"/>
          <w:szCs w:val="24"/>
        </w:rPr>
        <w:t xml:space="preserve"> i 8/18 – pročišćeni tekst</w:t>
      </w:r>
      <w:r w:rsidRPr="00CC7677">
        <w:rPr>
          <w:rFonts w:ascii="Times New Roman" w:eastAsia="Calibri" w:hAnsi="Times New Roman" w:cs="Times New Roman"/>
          <w:sz w:val="24"/>
          <w:szCs w:val="24"/>
        </w:rPr>
        <w:t xml:space="preserve">), a u svezi Uputa za izradu proračuna jedinica lokalne i područne (regionalne) samouprave za razdoblje 2018. - 2020. (Ministarstvo financija, kolovoz 2017.), Gradsko vijeće Grada Šibenika na </w:t>
      </w:r>
      <w:r w:rsidR="00545682">
        <w:rPr>
          <w:rFonts w:ascii="Times New Roman" w:eastAsia="Calibri" w:hAnsi="Times New Roman" w:cs="Times New Roman"/>
          <w:sz w:val="24"/>
          <w:szCs w:val="24"/>
        </w:rPr>
        <w:t xml:space="preserve">17. </w:t>
      </w:r>
      <w:r w:rsidRPr="00CC7677">
        <w:rPr>
          <w:rFonts w:ascii="Times New Roman" w:eastAsia="Calibri" w:hAnsi="Times New Roman" w:cs="Times New Roman"/>
          <w:sz w:val="24"/>
          <w:szCs w:val="24"/>
        </w:rPr>
        <w:t xml:space="preserve">sjednici održanoj </w:t>
      </w:r>
      <w:r w:rsidR="00545682">
        <w:rPr>
          <w:rFonts w:ascii="Times New Roman" w:eastAsia="Calibri" w:hAnsi="Times New Roman" w:cs="Times New Roman"/>
          <w:sz w:val="24"/>
          <w:szCs w:val="24"/>
        </w:rPr>
        <w:t>11.</w:t>
      </w:r>
      <w:r w:rsidRPr="00CC7677">
        <w:rPr>
          <w:rFonts w:ascii="Times New Roman" w:eastAsia="Calibri" w:hAnsi="Times New Roman" w:cs="Times New Roman"/>
          <w:sz w:val="24"/>
          <w:szCs w:val="24"/>
        </w:rPr>
        <w:t xml:space="preserve"> prosinca 2019. godine donosi</w:t>
      </w:r>
    </w:p>
    <w:p w:rsidR="00CC7677" w:rsidRPr="00CC7677" w:rsidRDefault="00CC7677" w:rsidP="00CC7677">
      <w:pPr>
        <w:spacing w:after="0" w:line="276" w:lineRule="auto"/>
        <w:rPr>
          <w:rFonts w:ascii="Times New Roman" w:eastAsia="Calibri" w:hAnsi="Times New Roman" w:cs="Times New Roman"/>
          <w:sz w:val="24"/>
          <w:szCs w:val="24"/>
        </w:rPr>
      </w:pPr>
    </w:p>
    <w:p w:rsidR="00CC7677" w:rsidRPr="00CC7677" w:rsidRDefault="00CC7677" w:rsidP="00CC7677">
      <w:pPr>
        <w:spacing w:after="0" w:line="240" w:lineRule="auto"/>
        <w:jc w:val="both"/>
        <w:rPr>
          <w:rFonts w:ascii="Times New Roman" w:eastAsia="Calibri" w:hAnsi="Times New Roman" w:cs="Times New Roman"/>
          <w:sz w:val="24"/>
          <w:szCs w:val="24"/>
        </w:rPr>
      </w:pPr>
    </w:p>
    <w:p w:rsidR="00F6034C" w:rsidRDefault="00F6034C" w:rsidP="00CC7677">
      <w:pPr>
        <w:spacing w:after="0" w:line="240" w:lineRule="auto"/>
        <w:jc w:val="center"/>
        <w:rPr>
          <w:rFonts w:ascii="Times New Roman" w:eastAsia="Calibri" w:hAnsi="Times New Roman" w:cs="Times New Roman"/>
          <w:b/>
          <w:sz w:val="28"/>
          <w:szCs w:val="28"/>
        </w:rPr>
      </w:pPr>
    </w:p>
    <w:p w:rsidR="00CC7677" w:rsidRDefault="00CC7677" w:rsidP="00CC7677">
      <w:pPr>
        <w:spacing w:after="0" w:line="240" w:lineRule="auto"/>
        <w:jc w:val="center"/>
        <w:rPr>
          <w:rFonts w:ascii="Times New Roman" w:eastAsia="Calibri" w:hAnsi="Times New Roman" w:cs="Times New Roman"/>
          <w:b/>
          <w:sz w:val="28"/>
          <w:szCs w:val="28"/>
        </w:rPr>
      </w:pPr>
      <w:r w:rsidRPr="00CC7677">
        <w:rPr>
          <w:rFonts w:ascii="Times New Roman" w:eastAsia="Calibri" w:hAnsi="Times New Roman" w:cs="Times New Roman"/>
          <w:b/>
          <w:sz w:val="28"/>
          <w:szCs w:val="28"/>
        </w:rPr>
        <w:t>ODLUKU</w:t>
      </w:r>
    </w:p>
    <w:p w:rsidR="002F455A" w:rsidRPr="00CC7677" w:rsidRDefault="002F455A" w:rsidP="00CC767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 usvajanju plana sukcesivnog pokrića manjka</w:t>
      </w:r>
    </w:p>
    <w:p w:rsidR="00CC7677" w:rsidRPr="00CC7677" w:rsidRDefault="00CC7677" w:rsidP="00CC7677">
      <w:pPr>
        <w:spacing w:after="0" w:line="240" w:lineRule="auto"/>
        <w:jc w:val="both"/>
        <w:rPr>
          <w:rFonts w:ascii="Times New Roman" w:eastAsia="Calibri" w:hAnsi="Times New Roman" w:cs="Times New Roman"/>
          <w:sz w:val="24"/>
          <w:szCs w:val="24"/>
        </w:rPr>
      </w:pPr>
    </w:p>
    <w:p w:rsidR="00CC7677" w:rsidRPr="00CC7677" w:rsidRDefault="00CC7677" w:rsidP="00CC7677">
      <w:pPr>
        <w:spacing w:after="0" w:line="240" w:lineRule="auto"/>
        <w:jc w:val="both"/>
        <w:rPr>
          <w:rFonts w:ascii="Times New Roman" w:eastAsia="Calibri" w:hAnsi="Times New Roman" w:cs="Times New Roman"/>
          <w:sz w:val="24"/>
          <w:szCs w:val="24"/>
        </w:rPr>
      </w:pPr>
    </w:p>
    <w:p w:rsidR="00CC7677" w:rsidRPr="00CC7677" w:rsidRDefault="00CC7677" w:rsidP="00CC7677">
      <w:pPr>
        <w:spacing w:after="0" w:line="240" w:lineRule="auto"/>
        <w:jc w:val="center"/>
        <w:rPr>
          <w:rFonts w:ascii="Times New Roman" w:eastAsia="Calibri" w:hAnsi="Times New Roman" w:cs="Times New Roman"/>
          <w:b/>
          <w:sz w:val="24"/>
          <w:szCs w:val="24"/>
        </w:rPr>
      </w:pPr>
      <w:r w:rsidRPr="00CC7677">
        <w:rPr>
          <w:rFonts w:ascii="Times New Roman" w:eastAsia="Calibri" w:hAnsi="Times New Roman" w:cs="Times New Roman"/>
          <w:b/>
          <w:sz w:val="24"/>
          <w:szCs w:val="24"/>
        </w:rPr>
        <w:t>I.</w:t>
      </w:r>
    </w:p>
    <w:p w:rsidR="00CC7677" w:rsidRPr="00CC7677" w:rsidRDefault="00CC7677" w:rsidP="00CC7677">
      <w:pPr>
        <w:spacing w:after="0" w:line="240" w:lineRule="auto"/>
        <w:jc w:val="center"/>
        <w:rPr>
          <w:rFonts w:ascii="Times New Roman" w:eastAsia="Calibri" w:hAnsi="Times New Roman" w:cs="Times New Roman"/>
          <w:b/>
          <w:sz w:val="24"/>
          <w:szCs w:val="24"/>
        </w:rPr>
      </w:pPr>
    </w:p>
    <w:p w:rsidR="00CC7677" w:rsidRPr="00CC7677" w:rsidRDefault="00CC7677" w:rsidP="00CC7677">
      <w:pPr>
        <w:spacing w:after="0" w:line="240" w:lineRule="auto"/>
        <w:ind w:firstLine="708"/>
        <w:jc w:val="both"/>
        <w:rPr>
          <w:rFonts w:ascii="Times New Roman" w:eastAsia="Calibri" w:hAnsi="Times New Roman" w:cs="Times New Roman"/>
          <w:sz w:val="24"/>
          <w:szCs w:val="24"/>
        </w:rPr>
      </w:pPr>
      <w:r w:rsidRPr="00CC7677">
        <w:rPr>
          <w:rFonts w:ascii="Times New Roman" w:eastAsia="Calibri" w:hAnsi="Times New Roman" w:cs="Times New Roman"/>
          <w:sz w:val="24"/>
          <w:szCs w:val="24"/>
        </w:rPr>
        <w:t>Usvaja se Plan sukcesivnog pokrića manjka iz prethodnih godina Grada Šibenika za razdoblje 2020.-2022. godine.</w:t>
      </w:r>
    </w:p>
    <w:p w:rsidR="00CC7677" w:rsidRPr="00CC7677" w:rsidRDefault="00CC7677" w:rsidP="00CC7677">
      <w:pPr>
        <w:spacing w:after="0" w:line="240" w:lineRule="auto"/>
        <w:jc w:val="both"/>
        <w:rPr>
          <w:rFonts w:ascii="Times New Roman" w:eastAsia="Calibri" w:hAnsi="Times New Roman" w:cs="Times New Roman"/>
          <w:sz w:val="24"/>
          <w:szCs w:val="24"/>
        </w:rPr>
      </w:pPr>
    </w:p>
    <w:p w:rsidR="00CC7677" w:rsidRPr="00CC7677" w:rsidRDefault="00CC7677" w:rsidP="00CC7677">
      <w:pPr>
        <w:spacing w:after="0" w:line="240" w:lineRule="auto"/>
        <w:jc w:val="center"/>
        <w:rPr>
          <w:rFonts w:ascii="Times New Roman" w:eastAsia="Calibri" w:hAnsi="Times New Roman" w:cs="Times New Roman"/>
          <w:b/>
          <w:bCs/>
          <w:sz w:val="24"/>
          <w:szCs w:val="24"/>
        </w:rPr>
      </w:pPr>
      <w:r w:rsidRPr="00CC7677">
        <w:rPr>
          <w:rFonts w:ascii="Times New Roman" w:eastAsia="Calibri" w:hAnsi="Times New Roman" w:cs="Times New Roman"/>
          <w:b/>
          <w:bCs/>
          <w:sz w:val="24"/>
          <w:szCs w:val="24"/>
        </w:rPr>
        <w:t>II.</w:t>
      </w:r>
    </w:p>
    <w:p w:rsidR="00CC7677" w:rsidRPr="00CC7677" w:rsidRDefault="00CC7677" w:rsidP="00CC7677">
      <w:pPr>
        <w:spacing w:after="0" w:line="240" w:lineRule="auto"/>
        <w:jc w:val="center"/>
        <w:rPr>
          <w:rFonts w:ascii="Times New Roman" w:eastAsia="Calibri" w:hAnsi="Times New Roman" w:cs="Times New Roman"/>
          <w:b/>
          <w:bCs/>
          <w:sz w:val="24"/>
          <w:szCs w:val="24"/>
        </w:rPr>
      </w:pPr>
    </w:p>
    <w:p w:rsidR="00CC7677" w:rsidRPr="00CC7677" w:rsidRDefault="00CC7677" w:rsidP="00CC7677">
      <w:pPr>
        <w:spacing w:after="0" w:line="240" w:lineRule="auto"/>
        <w:ind w:firstLine="708"/>
        <w:jc w:val="both"/>
        <w:rPr>
          <w:rFonts w:ascii="Times New Roman" w:eastAsia="Calibri" w:hAnsi="Times New Roman" w:cs="Times New Roman"/>
          <w:sz w:val="24"/>
          <w:szCs w:val="24"/>
        </w:rPr>
      </w:pPr>
      <w:r w:rsidRPr="00CC7677">
        <w:rPr>
          <w:rFonts w:ascii="Times New Roman" w:eastAsia="Calibri" w:hAnsi="Times New Roman" w:cs="Times New Roman"/>
          <w:sz w:val="24"/>
          <w:szCs w:val="24"/>
        </w:rPr>
        <w:t>Plan sukcesivnog pokrića manjka iz prethodnih godina Grada Šibenika za razdoblje 2020.-2022. godine nalazi se u privitku ove Odluke i čini njen sastavni dio.</w:t>
      </w:r>
    </w:p>
    <w:p w:rsidR="00CC7677" w:rsidRPr="00CC7677" w:rsidRDefault="00CC7677" w:rsidP="00CC7677">
      <w:pPr>
        <w:spacing w:after="0" w:line="240" w:lineRule="auto"/>
        <w:ind w:firstLine="708"/>
        <w:jc w:val="both"/>
        <w:rPr>
          <w:rFonts w:ascii="Times New Roman" w:eastAsia="Calibri" w:hAnsi="Times New Roman" w:cs="Times New Roman"/>
          <w:sz w:val="24"/>
          <w:szCs w:val="24"/>
        </w:rPr>
      </w:pPr>
    </w:p>
    <w:p w:rsidR="00CC7677" w:rsidRPr="00CC7677" w:rsidRDefault="00CC7677" w:rsidP="00CC7677">
      <w:pPr>
        <w:spacing w:after="0" w:line="240" w:lineRule="auto"/>
        <w:ind w:left="3540" w:firstLine="708"/>
        <w:rPr>
          <w:rFonts w:ascii="Times New Roman" w:eastAsia="Calibri" w:hAnsi="Times New Roman" w:cs="Times New Roman"/>
          <w:b/>
          <w:bCs/>
          <w:sz w:val="24"/>
          <w:szCs w:val="24"/>
        </w:rPr>
      </w:pPr>
      <w:r w:rsidRPr="00CC7677">
        <w:rPr>
          <w:rFonts w:ascii="Times New Roman" w:eastAsia="Calibri" w:hAnsi="Times New Roman" w:cs="Times New Roman"/>
          <w:b/>
          <w:bCs/>
          <w:sz w:val="24"/>
          <w:szCs w:val="24"/>
        </w:rPr>
        <w:t xml:space="preserve">  III.</w:t>
      </w:r>
    </w:p>
    <w:p w:rsidR="00CC7677" w:rsidRPr="00CC7677" w:rsidRDefault="00CC7677" w:rsidP="00CC7677">
      <w:pPr>
        <w:spacing w:after="0" w:line="240" w:lineRule="auto"/>
        <w:jc w:val="center"/>
        <w:rPr>
          <w:rFonts w:ascii="Times New Roman" w:eastAsia="Calibri" w:hAnsi="Times New Roman" w:cs="Times New Roman"/>
          <w:b/>
          <w:bCs/>
          <w:sz w:val="24"/>
          <w:szCs w:val="24"/>
        </w:rPr>
      </w:pPr>
    </w:p>
    <w:p w:rsidR="00CC7677" w:rsidRPr="00CC7677" w:rsidRDefault="00CC7677" w:rsidP="00CC7677">
      <w:pPr>
        <w:spacing w:after="0" w:line="240" w:lineRule="auto"/>
        <w:ind w:firstLine="708"/>
        <w:jc w:val="both"/>
        <w:rPr>
          <w:rFonts w:ascii="Times New Roman" w:eastAsia="Calibri" w:hAnsi="Times New Roman" w:cs="Times New Roman"/>
          <w:sz w:val="24"/>
          <w:szCs w:val="24"/>
        </w:rPr>
      </w:pPr>
      <w:r w:rsidRPr="00CC7677">
        <w:rPr>
          <w:rFonts w:ascii="Times New Roman" w:eastAsia="Calibri" w:hAnsi="Times New Roman" w:cs="Times New Roman"/>
          <w:sz w:val="24"/>
          <w:szCs w:val="24"/>
        </w:rPr>
        <w:t>Donošenjem ove Odluke prestaje važiti Odluka o</w:t>
      </w:r>
      <w:r w:rsidR="003A7453">
        <w:rPr>
          <w:rFonts w:ascii="Times New Roman" w:eastAsia="Calibri" w:hAnsi="Times New Roman" w:cs="Times New Roman"/>
          <w:sz w:val="24"/>
          <w:szCs w:val="24"/>
        </w:rPr>
        <w:t xml:space="preserve"> planu </w:t>
      </w:r>
      <w:r w:rsidRPr="00CC7677">
        <w:rPr>
          <w:rFonts w:ascii="Times New Roman" w:eastAsia="Calibri" w:hAnsi="Times New Roman" w:cs="Times New Roman"/>
          <w:sz w:val="24"/>
          <w:szCs w:val="24"/>
        </w:rPr>
        <w:t>pokriću manjka</w:t>
      </w:r>
      <w:r w:rsidR="003A7453">
        <w:rPr>
          <w:rFonts w:ascii="Times New Roman" w:eastAsia="Calibri" w:hAnsi="Times New Roman" w:cs="Times New Roman"/>
          <w:sz w:val="24"/>
          <w:szCs w:val="24"/>
        </w:rPr>
        <w:t xml:space="preserve"> prihoda Proračuna Grada Šibenika </w:t>
      </w:r>
      <w:r w:rsidRPr="00CC7677">
        <w:rPr>
          <w:rFonts w:ascii="Times New Roman" w:eastAsia="Calibri" w:hAnsi="Times New Roman" w:cs="Times New Roman"/>
          <w:sz w:val="24"/>
          <w:szCs w:val="24"/>
        </w:rPr>
        <w:t>("Službeni glasnik Grada Šibenika" br.</w:t>
      </w:r>
      <w:r w:rsidR="00205639">
        <w:rPr>
          <w:rFonts w:ascii="Times New Roman" w:eastAsia="Calibri" w:hAnsi="Times New Roman" w:cs="Times New Roman"/>
          <w:sz w:val="24"/>
          <w:szCs w:val="24"/>
        </w:rPr>
        <w:t xml:space="preserve"> 11/15 </w:t>
      </w:r>
      <w:r w:rsidRPr="00CC7677">
        <w:rPr>
          <w:rFonts w:ascii="Times New Roman" w:eastAsia="Calibri" w:hAnsi="Times New Roman" w:cs="Times New Roman"/>
          <w:sz w:val="24"/>
          <w:szCs w:val="24"/>
        </w:rPr>
        <w:t>i 6/16). Ova Odluka stupa na snagu danom objave u "Službenom glasniku Grada Šibenika"</w:t>
      </w:r>
      <w:r w:rsidR="000B3040">
        <w:rPr>
          <w:rFonts w:ascii="Times New Roman" w:eastAsia="Calibri" w:hAnsi="Times New Roman" w:cs="Times New Roman"/>
          <w:sz w:val="24"/>
          <w:szCs w:val="24"/>
        </w:rPr>
        <w:t>.</w:t>
      </w:r>
    </w:p>
    <w:p w:rsidR="00CC7677" w:rsidRPr="00CC7677" w:rsidRDefault="00CC7677" w:rsidP="00CC7677">
      <w:pPr>
        <w:spacing w:after="0" w:line="240" w:lineRule="auto"/>
        <w:jc w:val="both"/>
        <w:rPr>
          <w:rFonts w:ascii="Times New Roman" w:eastAsia="Calibri" w:hAnsi="Times New Roman" w:cs="Times New Roman"/>
          <w:sz w:val="24"/>
          <w:szCs w:val="24"/>
        </w:rPr>
      </w:pPr>
    </w:p>
    <w:p w:rsidR="00CC7677" w:rsidRPr="00CC7677" w:rsidRDefault="00CC7677" w:rsidP="00CC7677">
      <w:pPr>
        <w:spacing w:after="0"/>
        <w:ind w:left="-567" w:firstLine="567"/>
        <w:rPr>
          <w:rFonts w:ascii="Times New Roman" w:eastAsia="Calibri" w:hAnsi="Times New Roman" w:cs="Times New Roman"/>
          <w:sz w:val="24"/>
          <w:szCs w:val="24"/>
        </w:rPr>
      </w:pPr>
      <w:r w:rsidRPr="00CC7677">
        <w:rPr>
          <w:rFonts w:ascii="Times New Roman" w:eastAsia="Calibri" w:hAnsi="Times New Roman" w:cs="Times New Roman"/>
          <w:sz w:val="24"/>
          <w:szCs w:val="24"/>
        </w:rPr>
        <w:t>KLASA: 400-06/19-01/35</w:t>
      </w:r>
    </w:p>
    <w:p w:rsidR="00CC7677" w:rsidRPr="00CC7677" w:rsidRDefault="00CC7677" w:rsidP="00CC7677">
      <w:pPr>
        <w:spacing w:after="0"/>
        <w:ind w:left="-567" w:firstLine="567"/>
        <w:rPr>
          <w:rFonts w:ascii="Times New Roman" w:eastAsia="Calibri" w:hAnsi="Times New Roman" w:cs="Times New Roman"/>
          <w:sz w:val="24"/>
          <w:szCs w:val="24"/>
        </w:rPr>
      </w:pPr>
      <w:r w:rsidRPr="00CC7677">
        <w:rPr>
          <w:rFonts w:ascii="Times New Roman" w:eastAsia="Calibri" w:hAnsi="Times New Roman" w:cs="Times New Roman"/>
          <w:sz w:val="24"/>
          <w:szCs w:val="24"/>
        </w:rPr>
        <w:t>URBROJ: 2182/01-06-19-</w:t>
      </w:r>
      <w:r w:rsidR="00545682">
        <w:rPr>
          <w:rFonts w:ascii="Times New Roman" w:eastAsia="Calibri" w:hAnsi="Times New Roman" w:cs="Times New Roman"/>
          <w:sz w:val="24"/>
          <w:szCs w:val="24"/>
        </w:rPr>
        <w:t>7</w:t>
      </w:r>
    </w:p>
    <w:p w:rsidR="00CC7677" w:rsidRPr="00CC7677" w:rsidRDefault="00CC7677" w:rsidP="00CC7677">
      <w:pPr>
        <w:spacing w:after="0"/>
        <w:ind w:left="-567" w:firstLine="567"/>
        <w:rPr>
          <w:rFonts w:ascii="Times New Roman" w:eastAsia="Calibri" w:hAnsi="Times New Roman" w:cs="Times New Roman"/>
          <w:sz w:val="24"/>
          <w:szCs w:val="24"/>
        </w:rPr>
      </w:pPr>
      <w:r w:rsidRPr="00CC7677">
        <w:rPr>
          <w:rFonts w:ascii="Times New Roman" w:eastAsia="Calibri" w:hAnsi="Times New Roman" w:cs="Times New Roman"/>
          <w:sz w:val="24"/>
          <w:szCs w:val="24"/>
        </w:rPr>
        <w:t>Šibenik,</w:t>
      </w:r>
      <w:r w:rsidR="00545682">
        <w:rPr>
          <w:rFonts w:ascii="Times New Roman" w:eastAsia="Calibri" w:hAnsi="Times New Roman" w:cs="Times New Roman"/>
          <w:sz w:val="24"/>
          <w:szCs w:val="24"/>
        </w:rPr>
        <w:t xml:space="preserve"> 11.</w:t>
      </w:r>
      <w:r w:rsidRPr="00CC7677">
        <w:rPr>
          <w:rFonts w:ascii="Times New Roman" w:eastAsia="Calibri" w:hAnsi="Times New Roman" w:cs="Times New Roman"/>
          <w:sz w:val="24"/>
          <w:szCs w:val="24"/>
        </w:rPr>
        <w:t xml:space="preserve">  prosinca 2019.</w:t>
      </w:r>
    </w:p>
    <w:p w:rsidR="00CC7677" w:rsidRPr="00CC7677" w:rsidRDefault="00CC7677" w:rsidP="00CC7677">
      <w:pPr>
        <w:spacing w:after="0" w:line="240" w:lineRule="auto"/>
        <w:rPr>
          <w:rFonts w:ascii="Times New Roman" w:eastAsia="Times New Roman" w:hAnsi="Times New Roman" w:cs="Times New Roman"/>
          <w:sz w:val="24"/>
          <w:szCs w:val="24"/>
        </w:rPr>
      </w:pPr>
    </w:p>
    <w:p w:rsidR="00CC7677" w:rsidRPr="00CC7677" w:rsidRDefault="00CC7677" w:rsidP="00CC7677">
      <w:pPr>
        <w:spacing w:after="0" w:line="240" w:lineRule="auto"/>
        <w:rPr>
          <w:rFonts w:ascii="Times New Roman" w:eastAsia="Times New Roman" w:hAnsi="Times New Roman" w:cs="Times New Roman"/>
          <w:sz w:val="24"/>
          <w:szCs w:val="24"/>
        </w:rPr>
      </w:pPr>
    </w:p>
    <w:p w:rsidR="00CC7677" w:rsidRPr="00CC7677" w:rsidRDefault="00CC7677" w:rsidP="00CC7677">
      <w:pPr>
        <w:spacing w:after="0" w:line="240" w:lineRule="auto"/>
        <w:rPr>
          <w:rFonts w:ascii="Times New Roman" w:eastAsia="Times New Roman" w:hAnsi="Times New Roman" w:cs="Times New Roman"/>
          <w:sz w:val="24"/>
          <w:szCs w:val="24"/>
        </w:rPr>
      </w:pPr>
    </w:p>
    <w:p w:rsidR="00CC7677" w:rsidRPr="00CC7677" w:rsidRDefault="00CC7677" w:rsidP="00CC7677">
      <w:pPr>
        <w:spacing w:after="0" w:line="240" w:lineRule="auto"/>
        <w:rPr>
          <w:rFonts w:ascii="Times New Roman" w:eastAsia="Times New Roman" w:hAnsi="Times New Roman" w:cs="Times New Roman"/>
          <w:sz w:val="24"/>
          <w:szCs w:val="24"/>
        </w:rPr>
      </w:pPr>
    </w:p>
    <w:p w:rsidR="00CC7677" w:rsidRPr="00CC7677" w:rsidRDefault="00CC7677" w:rsidP="00CC7677">
      <w:pPr>
        <w:spacing w:after="0" w:line="240" w:lineRule="auto"/>
        <w:jc w:val="center"/>
        <w:rPr>
          <w:rFonts w:ascii="Times New Roman" w:eastAsia="Times New Roman" w:hAnsi="Times New Roman" w:cs="Times New Roman"/>
          <w:sz w:val="24"/>
          <w:szCs w:val="24"/>
        </w:rPr>
      </w:pPr>
      <w:r w:rsidRPr="00CC7677">
        <w:rPr>
          <w:rFonts w:ascii="Times New Roman" w:eastAsia="Times New Roman" w:hAnsi="Times New Roman" w:cs="Times New Roman"/>
          <w:sz w:val="24"/>
          <w:szCs w:val="24"/>
        </w:rPr>
        <w:t>GRADSKO VIJEĆE GRADA ŠIBENIKA</w:t>
      </w:r>
    </w:p>
    <w:p w:rsidR="00CC7677" w:rsidRPr="00CC7677" w:rsidRDefault="00CC7677" w:rsidP="00CC7677">
      <w:pPr>
        <w:spacing w:after="0" w:line="240" w:lineRule="auto"/>
        <w:rPr>
          <w:rFonts w:ascii="Times New Roman" w:eastAsia="Times New Roman" w:hAnsi="Times New Roman" w:cs="Times New Roman"/>
          <w:sz w:val="24"/>
          <w:szCs w:val="24"/>
        </w:rPr>
      </w:pPr>
    </w:p>
    <w:p w:rsidR="00CC7677" w:rsidRPr="00CC7677" w:rsidRDefault="00CC7677" w:rsidP="00CC7677">
      <w:pPr>
        <w:spacing w:after="0" w:line="240" w:lineRule="auto"/>
        <w:rPr>
          <w:rFonts w:ascii="Times New Roman" w:eastAsia="Times New Roman" w:hAnsi="Times New Roman" w:cs="Times New Roman"/>
          <w:sz w:val="24"/>
          <w:szCs w:val="24"/>
        </w:rPr>
      </w:pPr>
    </w:p>
    <w:p w:rsidR="00CC7677" w:rsidRPr="00CC7677" w:rsidRDefault="00CC7677" w:rsidP="00CC7677">
      <w:pPr>
        <w:spacing w:after="0" w:line="240" w:lineRule="auto"/>
        <w:jc w:val="both"/>
        <w:rPr>
          <w:rFonts w:ascii="Times New Roman" w:eastAsia="Times New Roman" w:hAnsi="Times New Roman" w:cs="Times New Roman"/>
          <w:sz w:val="24"/>
          <w:szCs w:val="24"/>
        </w:rPr>
      </w:pPr>
      <w:r w:rsidRPr="00CC7677">
        <w:rPr>
          <w:rFonts w:ascii="Times New Roman" w:eastAsia="Times New Roman" w:hAnsi="Times New Roman" w:cs="Times New Roman"/>
          <w:sz w:val="24"/>
          <w:szCs w:val="24"/>
        </w:rPr>
        <w:tab/>
      </w:r>
      <w:r w:rsidRPr="00CC7677">
        <w:rPr>
          <w:rFonts w:ascii="Times New Roman" w:eastAsia="Times New Roman" w:hAnsi="Times New Roman" w:cs="Times New Roman"/>
          <w:sz w:val="24"/>
          <w:szCs w:val="24"/>
        </w:rPr>
        <w:tab/>
      </w:r>
      <w:r w:rsidRPr="00CC7677">
        <w:rPr>
          <w:rFonts w:ascii="Times New Roman" w:eastAsia="Times New Roman" w:hAnsi="Times New Roman" w:cs="Times New Roman"/>
          <w:sz w:val="24"/>
          <w:szCs w:val="24"/>
        </w:rPr>
        <w:tab/>
      </w:r>
      <w:r w:rsidRPr="00CC7677">
        <w:rPr>
          <w:rFonts w:ascii="Times New Roman" w:eastAsia="Times New Roman" w:hAnsi="Times New Roman" w:cs="Times New Roman"/>
          <w:sz w:val="24"/>
          <w:szCs w:val="24"/>
        </w:rPr>
        <w:tab/>
      </w:r>
      <w:r w:rsidRPr="00CC7677">
        <w:rPr>
          <w:rFonts w:ascii="Times New Roman" w:eastAsia="Times New Roman" w:hAnsi="Times New Roman" w:cs="Times New Roman"/>
          <w:sz w:val="24"/>
          <w:szCs w:val="24"/>
        </w:rPr>
        <w:tab/>
      </w:r>
      <w:r w:rsidRPr="00CC7677">
        <w:rPr>
          <w:rFonts w:ascii="Times New Roman" w:eastAsia="Times New Roman" w:hAnsi="Times New Roman" w:cs="Times New Roman"/>
          <w:sz w:val="24"/>
          <w:szCs w:val="24"/>
        </w:rPr>
        <w:tab/>
      </w:r>
      <w:r w:rsidRPr="00CC7677">
        <w:rPr>
          <w:rFonts w:ascii="Times New Roman" w:eastAsia="Times New Roman" w:hAnsi="Times New Roman" w:cs="Times New Roman"/>
          <w:sz w:val="24"/>
          <w:szCs w:val="24"/>
        </w:rPr>
        <w:tab/>
      </w:r>
      <w:r w:rsidRPr="00CC7677">
        <w:rPr>
          <w:rFonts w:ascii="Times New Roman" w:eastAsia="Times New Roman" w:hAnsi="Times New Roman" w:cs="Times New Roman"/>
          <w:sz w:val="24"/>
          <w:szCs w:val="24"/>
        </w:rPr>
        <w:tab/>
        <w:t xml:space="preserve">         PREDSJEDNIK</w:t>
      </w:r>
      <w:r w:rsidRPr="00CC7677">
        <w:rPr>
          <w:rFonts w:ascii="Times New Roman" w:eastAsia="Times New Roman" w:hAnsi="Times New Roman" w:cs="Times New Roman"/>
          <w:sz w:val="24"/>
          <w:szCs w:val="24"/>
        </w:rPr>
        <w:tab/>
      </w:r>
    </w:p>
    <w:p w:rsidR="00CC7677" w:rsidRPr="00CC7677" w:rsidRDefault="00CC7677" w:rsidP="00CC7677">
      <w:pPr>
        <w:spacing w:after="0" w:line="240" w:lineRule="auto"/>
        <w:jc w:val="both"/>
        <w:rPr>
          <w:rFonts w:ascii="Times New Roman" w:eastAsia="Times New Roman" w:hAnsi="Times New Roman" w:cs="Times New Roman"/>
          <w:sz w:val="24"/>
          <w:szCs w:val="24"/>
        </w:rPr>
      </w:pPr>
      <w:r w:rsidRPr="00CC7677">
        <w:rPr>
          <w:rFonts w:ascii="Times New Roman" w:eastAsia="Times New Roman" w:hAnsi="Times New Roman" w:cs="Times New Roman"/>
          <w:color w:val="000000"/>
          <w:sz w:val="24"/>
          <w:szCs w:val="24"/>
          <w:lang w:eastAsia="hr-HR"/>
        </w:rPr>
        <w:t xml:space="preserve">       </w:t>
      </w:r>
      <w:r w:rsidRPr="00CC7677">
        <w:rPr>
          <w:rFonts w:ascii="Times New Roman" w:eastAsia="Times New Roman" w:hAnsi="Times New Roman" w:cs="Times New Roman"/>
          <w:color w:val="000000"/>
          <w:sz w:val="24"/>
          <w:szCs w:val="24"/>
          <w:lang w:eastAsia="hr-HR"/>
        </w:rPr>
        <w:tab/>
        <w:t xml:space="preserve"> </w:t>
      </w:r>
      <w:r w:rsidRPr="00CC7677">
        <w:rPr>
          <w:rFonts w:ascii="Times New Roman" w:eastAsia="Times New Roman" w:hAnsi="Times New Roman" w:cs="Times New Roman"/>
          <w:color w:val="000000"/>
          <w:sz w:val="24"/>
          <w:szCs w:val="24"/>
          <w:lang w:eastAsia="hr-HR"/>
        </w:rPr>
        <w:tab/>
      </w:r>
      <w:r w:rsidRPr="00CC7677">
        <w:rPr>
          <w:rFonts w:ascii="Times New Roman" w:eastAsia="Times New Roman" w:hAnsi="Times New Roman" w:cs="Times New Roman"/>
          <w:color w:val="000000"/>
          <w:sz w:val="24"/>
          <w:szCs w:val="24"/>
          <w:lang w:eastAsia="hr-HR"/>
        </w:rPr>
        <w:tab/>
      </w:r>
      <w:r w:rsidRPr="00CC7677">
        <w:rPr>
          <w:rFonts w:ascii="Times New Roman" w:eastAsia="Times New Roman" w:hAnsi="Times New Roman" w:cs="Times New Roman"/>
          <w:color w:val="000000"/>
          <w:sz w:val="24"/>
          <w:szCs w:val="24"/>
          <w:lang w:eastAsia="hr-HR"/>
        </w:rPr>
        <w:tab/>
      </w:r>
      <w:r w:rsidRPr="00CC7677">
        <w:rPr>
          <w:rFonts w:ascii="Times New Roman" w:eastAsia="Times New Roman" w:hAnsi="Times New Roman" w:cs="Times New Roman"/>
          <w:color w:val="000000"/>
          <w:sz w:val="24"/>
          <w:szCs w:val="24"/>
          <w:lang w:eastAsia="hr-HR"/>
        </w:rPr>
        <w:tab/>
      </w:r>
      <w:r w:rsidRPr="00CC7677">
        <w:rPr>
          <w:rFonts w:ascii="Times New Roman" w:eastAsia="Times New Roman" w:hAnsi="Times New Roman" w:cs="Times New Roman"/>
          <w:color w:val="000000"/>
          <w:sz w:val="24"/>
          <w:szCs w:val="24"/>
          <w:lang w:eastAsia="hr-HR"/>
        </w:rPr>
        <w:tab/>
      </w:r>
      <w:r w:rsidRPr="00CC7677">
        <w:rPr>
          <w:rFonts w:ascii="Times New Roman" w:eastAsia="Times New Roman" w:hAnsi="Times New Roman" w:cs="Times New Roman"/>
          <w:color w:val="000000"/>
          <w:sz w:val="24"/>
          <w:szCs w:val="24"/>
          <w:lang w:eastAsia="hr-HR"/>
        </w:rPr>
        <w:tab/>
        <w:t xml:space="preserve"> </w:t>
      </w:r>
      <w:r w:rsidRPr="00CC7677">
        <w:rPr>
          <w:rFonts w:ascii="Times New Roman" w:eastAsia="Times New Roman" w:hAnsi="Times New Roman" w:cs="Times New Roman"/>
          <w:color w:val="000000"/>
          <w:sz w:val="24"/>
          <w:szCs w:val="24"/>
          <w:lang w:eastAsia="hr-HR"/>
        </w:rPr>
        <w:tab/>
      </w:r>
      <w:r w:rsidR="00F00311">
        <w:rPr>
          <w:rFonts w:ascii="Times New Roman" w:eastAsia="Times New Roman" w:hAnsi="Times New Roman" w:cs="Times New Roman"/>
          <w:color w:val="000000"/>
          <w:sz w:val="24"/>
          <w:szCs w:val="24"/>
          <w:lang w:eastAsia="hr-HR"/>
        </w:rPr>
        <w:t xml:space="preserve">  </w:t>
      </w:r>
      <w:r w:rsidRPr="00CC7677">
        <w:rPr>
          <w:rFonts w:ascii="Times New Roman" w:eastAsia="Times New Roman" w:hAnsi="Times New Roman" w:cs="Times New Roman"/>
          <w:color w:val="000000"/>
          <w:sz w:val="24"/>
          <w:szCs w:val="24"/>
          <w:lang w:eastAsia="hr-HR"/>
        </w:rPr>
        <w:t>dr.sc. Dragan Zlatović</w:t>
      </w:r>
      <w:r w:rsidR="00D27793">
        <w:rPr>
          <w:rFonts w:ascii="Times New Roman" w:eastAsia="Times New Roman" w:hAnsi="Times New Roman" w:cs="Times New Roman"/>
          <w:color w:val="000000"/>
          <w:sz w:val="24"/>
          <w:szCs w:val="24"/>
          <w:lang w:eastAsia="hr-HR"/>
        </w:rPr>
        <w:t>,v.r.</w:t>
      </w:r>
      <w:bookmarkStart w:id="0" w:name="_GoBack"/>
      <w:bookmarkEnd w:id="0"/>
    </w:p>
    <w:p w:rsidR="00CC7677" w:rsidRPr="00CC7677" w:rsidRDefault="00CC7677" w:rsidP="00CC7677">
      <w:pPr>
        <w:spacing w:after="0" w:line="240" w:lineRule="auto"/>
        <w:jc w:val="both"/>
        <w:rPr>
          <w:rFonts w:ascii="Times New Roman" w:eastAsia="Calibri" w:hAnsi="Times New Roman" w:cs="Times New Roman"/>
          <w:sz w:val="24"/>
          <w:szCs w:val="24"/>
        </w:rPr>
      </w:pPr>
    </w:p>
    <w:p w:rsidR="005453A2" w:rsidRDefault="005453A2" w:rsidP="00737172">
      <w:pPr>
        <w:spacing w:after="0" w:line="276" w:lineRule="auto"/>
        <w:rPr>
          <w:rFonts w:ascii="Times New Roman" w:eastAsia="Calibri" w:hAnsi="Times New Roman" w:cs="Times New Roman"/>
          <w:b/>
          <w:sz w:val="24"/>
          <w:szCs w:val="24"/>
        </w:rPr>
      </w:pPr>
    </w:p>
    <w:p w:rsidR="00CC7677" w:rsidRDefault="00CC7677" w:rsidP="00737172">
      <w:pPr>
        <w:spacing w:after="0" w:line="276" w:lineRule="auto"/>
        <w:rPr>
          <w:rFonts w:ascii="Times New Roman" w:eastAsia="Calibri" w:hAnsi="Times New Roman" w:cs="Times New Roman"/>
          <w:b/>
          <w:sz w:val="24"/>
          <w:szCs w:val="24"/>
        </w:rPr>
      </w:pPr>
    </w:p>
    <w:p w:rsidR="00CC7677" w:rsidRDefault="00CC7677" w:rsidP="00737172">
      <w:pPr>
        <w:spacing w:after="0" w:line="276" w:lineRule="auto"/>
        <w:rPr>
          <w:rFonts w:ascii="Times New Roman" w:eastAsia="Calibri" w:hAnsi="Times New Roman" w:cs="Times New Roman"/>
          <w:b/>
          <w:sz w:val="24"/>
          <w:szCs w:val="24"/>
        </w:rPr>
      </w:pPr>
    </w:p>
    <w:p w:rsidR="00CC7677" w:rsidRDefault="00CC7677" w:rsidP="00737172">
      <w:pPr>
        <w:spacing w:after="0" w:line="276" w:lineRule="auto"/>
        <w:rPr>
          <w:rFonts w:ascii="Times New Roman" w:eastAsia="Calibri" w:hAnsi="Times New Roman" w:cs="Times New Roman"/>
          <w:b/>
          <w:sz w:val="24"/>
          <w:szCs w:val="24"/>
        </w:rPr>
      </w:pPr>
    </w:p>
    <w:p w:rsidR="00CC7677" w:rsidRDefault="00CC7677" w:rsidP="00737172">
      <w:pPr>
        <w:spacing w:after="0" w:line="276" w:lineRule="auto"/>
        <w:rPr>
          <w:rFonts w:ascii="Times New Roman" w:eastAsia="Calibri" w:hAnsi="Times New Roman" w:cs="Times New Roman"/>
          <w:b/>
          <w:sz w:val="24"/>
          <w:szCs w:val="24"/>
        </w:rPr>
      </w:pPr>
    </w:p>
    <w:p w:rsidR="00CC7677" w:rsidRPr="005B5E19" w:rsidRDefault="00CC7677" w:rsidP="00737172">
      <w:pPr>
        <w:spacing w:after="0" w:line="276" w:lineRule="auto"/>
        <w:rPr>
          <w:rFonts w:ascii="Times New Roman" w:eastAsia="Calibri" w:hAnsi="Times New Roman" w:cs="Times New Roman"/>
          <w:b/>
          <w:sz w:val="24"/>
          <w:szCs w:val="24"/>
        </w:rPr>
      </w:pPr>
    </w:p>
    <w:p w:rsidR="001B022C" w:rsidRPr="005B5E19" w:rsidRDefault="001B022C" w:rsidP="00545239">
      <w:pPr>
        <w:spacing w:after="0" w:line="276" w:lineRule="auto"/>
        <w:jc w:val="center"/>
        <w:rPr>
          <w:rFonts w:ascii="Times New Roman" w:eastAsia="Calibri" w:hAnsi="Times New Roman" w:cs="Times New Roman"/>
          <w:b/>
          <w:sz w:val="28"/>
          <w:szCs w:val="28"/>
        </w:rPr>
      </w:pPr>
      <w:r w:rsidRPr="005B5E19">
        <w:rPr>
          <w:rFonts w:ascii="Times New Roman" w:eastAsia="Calibri" w:hAnsi="Times New Roman" w:cs="Times New Roman"/>
          <w:b/>
          <w:sz w:val="28"/>
          <w:szCs w:val="28"/>
        </w:rPr>
        <w:lastRenderedPageBreak/>
        <w:t xml:space="preserve">PLAN SUKCESIVNOG POKRIĆA MANJKA </w:t>
      </w:r>
      <w:r w:rsidR="00DD640C" w:rsidRPr="005B5E19">
        <w:rPr>
          <w:rFonts w:ascii="Times New Roman" w:eastAsia="Calibri" w:hAnsi="Times New Roman" w:cs="Times New Roman"/>
          <w:b/>
          <w:sz w:val="28"/>
          <w:szCs w:val="28"/>
        </w:rPr>
        <w:t xml:space="preserve">IZ </w:t>
      </w:r>
      <w:r w:rsidRPr="005B5E19">
        <w:rPr>
          <w:rFonts w:ascii="Times New Roman" w:eastAsia="Calibri" w:hAnsi="Times New Roman" w:cs="Times New Roman"/>
          <w:b/>
          <w:sz w:val="28"/>
          <w:szCs w:val="28"/>
        </w:rPr>
        <w:t>PRETHODNIH</w:t>
      </w:r>
      <w:r w:rsidR="001B1A6A">
        <w:rPr>
          <w:rFonts w:ascii="Times New Roman" w:eastAsia="Calibri" w:hAnsi="Times New Roman" w:cs="Times New Roman"/>
          <w:b/>
          <w:sz w:val="28"/>
          <w:szCs w:val="28"/>
        </w:rPr>
        <w:t xml:space="preserve"> </w:t>
      </w:r>
      <w:r w:rsidR="00545239">
        <w:rPr>
          <w:rFonts w:ascii="Times New Roman" w:eastAsia="Calibri" w:hAnsi="Times New Roman" w:cs="Times New Roman"/>
          <w:b/>
          <w:sz w:val="28"/>
          <w:szCs w:val="28"/>
        </w:rPr>
        <w:t>GODINA</w:t>
      </w:r>
      <w:r w:rsidR="0009558B" w:rsidRPr="005B5E19">
        <w:rPr>
          <w:rFonts w:ascii="Times New Roman" w:eastAsia="Calibri" w:hAnsi="Times New Roman" w:cs="Times New Roman"/>
          <w:b/>
          <w:sz w:val="28"/>
          <w:szCs w:val="28"/>
        </w:rPr>
        <w:t xml:space="preserve"> </w:t>
      </w:r>
      <w:r w:rsidRPr="005B5E19">
        <w:rPr>
          <w:rFonts w:ascii="Times New Roman" w:eastAsia="Calibri" w:hAnsi="Times New Roman" w:cs="Times New Roman"/>
          <w:b/>
          <w:sz w:val="28"/>
          <w:szCs w:val="28"/>
        </w:rPr>
        <w:t>GRADA ŠIBENIKA</w:t>
      </w:r>
      <w:r w:rsidR="00545239">
        <w:rPr>
          <w:rFonts w:ascii="Times New Roman" w:eastAsia="Calibri" w:hAnsi="Times New Roman" w:cs="Times New Roman"/>
          <w:b/>
          <w:sz w:val="28"/>
          <w:szCs w:val="28"/>
        </w:rPr>
        <w:t xml:space="preserve"> ZA RAZDOBLJE 2020. – 2022. GODINE</w:t>
      </w:r>
    </w:p>
    <w:p w:rsidR="00D40601" w:rsidRPr="005B5E19" w:rsidRDefault="00D40601" w:rsidP="00545239">
      <w:pPr>
        <w:spacing w:after="0" w:line="276" w:lineRule="auto"/>
        <w:jc w:val="center"/>
        <w:rPr>
          <w:rFonts w:ascii="Times New Roman" w:eastAsia="Calibri" w:hAnsi="Times New Roman" w:cs="Times New Roman"/>
          <w:b/>
          <w:sz w:val="28"/>
          <w:szCs w:val="28"/>
        </w:rPr>
      </w:pPr>
    </w:p>
    <w:p w:rsidR="001B022C" w:rsidRPr="005B5E19" w:rsidRDefault="001B022C" w:rsidP="00DA2F15">
      <w:pPr>
        <w:spacing w:after="0" w:line="276" w:lineRule="auto"/>
        <w:jc w:val="center"/>
        <w:rPr>
          <w:rFonts w:ascii="Times New Roman" w:eastAsia="Calibri" w:hAnsi="Times New Roman" w:cs="Times New Roman"/>
          <w:sz w:val="24"/>
          <w:szCs w:val="24"/>
        </w:rPr>
      </w:pPr>
    </w:p>
    <w:p w:rsidR="001B022C" w:rsidRPr="005B5E19" w:rsidRDefault="001B022C" w:rsidP="004F455C">
      <w:pPr>
        <w:pStyle w:val="Odlomakpopisa"/>
        <w:numPr>
          <w:ilvl w:val="0"/>
          <w:numId w:val="4"/>
        </w:numPr>
        <w:spacing w:after="0" w:line="276" w:lineRule="auto"/>
        <w:jc w:val="both"/>
        <w:rPr>
          <w:rFonts w:ascii="Times New Roman" w:eastAsia="Calibri" w:hAnsi="Times New Roman" w:cs="Times New Roman"/>
          <w:b/>
          <w:bCs/>
          <w:sz w:val="24"/>
          <w:szCs w:val="24"/>
        </w:rPr>
      </w:pPr>
      <w:r w:rsidRPr="005B5E19">
        <w:rPr>
          <w:rFonts w:ascii="Times New Roman" w:eastAsia="Calibri" w:hAnsi="Times New Roman" w:cs="Times New Roman"/>
          <w:b/>
          <w:bCs/>
          <w:sz w:val="24"/>
          <w:szCs w:val="24"/>
        </w:rPr>
        <w:t>UVOD</w:t>
      </w:r>
    </w:p>
    <w:p w:rsidR="005453A2" w:rsidRPr="005B5E19" w:rsidRDefault="005453A2" w:rsidP="00913585">
      <w:pPr>
        <w:spacing w:after="0" w:line="276" w:lineRule="auto"/>
        <w:jc w:val="both"/>
        <w:rPr>
          <w:rFonts w:ascii="Times New Roman" w:eastAsia="Calibri" w:hAnsi="Times New Roman" w:cs="Times New Roman"/>
          <w:color w:val="FF0000"/>
          <w:sz w:val="24"/>
          <w:szCs w:val="24"/>
        </w:rPr>
      </w:pPr>
    </w:p>
    <w:p w:rsidR="006A5F46" w:rsidRPr="0044579C" w:rsidRDefault="006A5F46" w:rsidP="006A5F46">
      <w:pPr>
        <w:spacing w:after="0" w:line="276" w:lineRule="auto"/>
        <w:ind w:firstLine="708"/>
        <w:jc w:val="both"/>
        <w:rPr>
          <w:rFonts w:ascii="Times New Roman" w:eastAsia="Calibri" w:hAnsi="Times New Roman" w:cs="Times New Roman"/>
          <w:sz w:val="24"/>
          <w:szCs w:val="24"/>
        </w:rPr>
      </w:pPr>
      <w:r w:rsidRPr="0044579C">
        <w:rPr>
          <w:rFonts w:ascii="Times New Roman" w:eastAsia="Calibri" w:hAnsi="Times New Roman" w:cs="Times New Roman"/>
          <w:sz w:val="24"/>
          <w:szCs w:val="24"/>
        </w:rPr>
        <w:t>U skladu s Uputama za izradu proračuna Jedinica lokalne i područne (regionalne) samouprave za razdoblje 20</w:t>
      </w:r>
      <w:r w:rsidR="00006033" w:rsidRPr="0044579C">
        <w:rPr>
          <w:rFonts w:ascii="Times New Roman" w:eastAsia="Calibri" w:hAnsi="Times New Roman" w:cs="Times New Roman"/>
          <w:sz w:val="24"/>
          <w:szCs w:val="24"/>
        </w:rPr>
        <w:t>18</w:t>
      </w:r>
      <w:r w:rsidRPr="0044579C">
        <w:rPr>
          <w:rFonts w:ascii="Times New Roman" w:eastAsia="Calibri" w:hAnsi="Times New Roman" w:cs="Times New Roman"/>
          <w:sz w:val="24"/>
          <w:szCs w:val="24"/>
        </w:rPr>
        <w:t>. – 202</w:t>
      </w:r>
      <w:r w:rsidR="00C07BFC">
        <w:rPr>
          <w:rFonts w:ascii="Times New Roman" w:eastAsia="Calibri" w:hAnsi="Times New Roman" w:cs="Times New Roman"/>
          <w:sz w:val="24"/>
          <w:szCs w:val="24"/>
        </w:rPr>
        <w:t>0</w:t>
      </w:r>
      <w:r w:rsidRPr="0044579C">
        <w:rPr>
          <w:rFonts w:ascii="Times New Roman" w:eastAsia="Calibri" w:hAnsi="Times New Roman" w:cs="Times New Roman"/>
          <w:sz w:val="24"/>
          <w:szCs w:val="24"/>
        </w:rPr>
        <w:t>., izrađena je analiza financijskog stanja Grada Šibenika radi što kvalitetnije procjene ukupnog rezultata za 2019. godinu te izrade plana pokrića manjka utvrđenog na dan 31.12.2018. godine. Na temelju sagledanih pokazatelja sastavljen je prijedlog mjera za pokriće manjka i akcijski plan za njihovu provedbu. U analizi financijskog stanja korišteni su podaci iz financijskih izvještaja razine 22</w:t>
      </w:r>
      <w:r w:rsidR="007E70A2" w:rsidRPr="0044579C">
        <w:rPr>
          <w:rFonts w:ascii="Times New Roman" w:eastAsia="Calibri" w:hAnsi="Times New Roman" w:cs="Times New Roman"/>
          <w:sz w:val="24"/>
          <w:szCs w:val="24"/>
        </w:rPr>
        <w:t xml:space="preserve"> iz 2017. i 2018. godine.</w:t>
      </w:r>
    </w:p>
    <w:p w:rsidR="0081171A" w:rsidRDefault="0081171A" w:rsidP="000F7596">
      <w:pPr>
        <w:spacing w:after="0" w:line="276" w:lineRule="auto"/>
        <w:jc w:val="both"/>
        <w:rPr>
          <w:rFonts w:ascii="Times New Roman" w:eastAsia="Calibri" w:hAnsi="Times New Roman" w:cs="Times New Roman"/>
          <w:sz w:val="24"/>
          <w:szCs w:val="24"/>
        </w:rPr>
      </w:pPr>
    </w:p>
    <w:p w:rsidR="005E72AC" w:rsidRPr="0044579C" w:rsidRDefault="005E72AC" w:rsidP="000F7596">
      <w:pPr>
        <w:spacing w:after="0" w:line="276" w:lineRule="auto"/>
        <w:jc w:val="both"/>
        <w:rPr>
          <w:rFonts w:ascii="Times New Roman" w:eastAsia="Calibri" w:hAnsi="Times New Roman" w:cs="Times New Roman"/>
          <w:sz w:val="24"/>
          <w:szCs w:val="24"/>
        </w:rPr>
      </w:pPr>
    </w:p>
    <w:p w:rsidR="00F10712" w:rsidRPr="0044579C" w:rsidRDefault="005715E5" w:rsidP="00F10712">
      <w:pPr>
        <w:pStyle w:val="Odlomakpopisa"/>
        <w:numPr>
          <w:ilvl w:val="0"/>
          <w:numId w:val="4"/>
        </w:numPr>
        <w:spacing w:after="0" w:line="276" w:lineRule="auto"/>
        <w:jc w:val="both"/>
        <w:rPr>
          <w:rFonts w:ascii="Times New Roman" w:eastAsia="Calibri" w:hAnsi="Times New Roman" w:cs="Times New Roman"/>
          <w:b/>
          <w:bCs/>
          <w:sz w:val="24"/>
          <w:szCs w:val="24"/>
        </w:rPr>
      </w:pPr>
      <w:r w:rsidRPr="0044579C">
        <w:rPr>
          <w:rFonts w:ascii="Times New Roman" w:eastAsia="Calibri" w:hAnsi="Times New Roman" w:cs="Times New Roman"/>
          <w:b/>
          <w:bCs/>
          <w:sz w:val="24"/>
          <w:szCs w:val="24"/>
        </w:rPr>
        <w:t>ANALIZA I OCJENA POSTOJEĆEG FINANCIJSKOG STANJA</w:t>
      </w:r>
    </w:p>
    <w:p w:rsidR="00F10712" w:rsidRPr="0044579C" w:rsidRDefault="00F10712" w:rsidP="00F10712">
      <w:pPr>
        <w:pStyle w:val="Odlomakpopisa"/>
        <w:spacing w:after="0" w:line="276" w:lineRule="auto"/>
        <w:jc w:val="both"/>
        <w:rPr>
          <w:rFonts w:ascii="Times New Roman" w:eastAsia="Calibri" w:hAnsi="Times New Roman" w:cs="Times New Roman"/>
          <w:b/>
          <w:bCs/>
          <w:sz w:val="24"/>
          <w:szCs w:val="24"/>
        </w:rPr>
      </w:pPr>
    </w:p>
    <w:p w:rsidR="00F10712" w:rsidRPr="0044579C" w:rsidRDefault="00F10712" w:rsidP="00F10712">
      <w:pPr>
        <w:spacing w:after="0" w:line="276" w:lineRule="auto"/>
        <w:jc w:val="both"/>
        <w:rPr>
          <w:rFonts w:ascii="Times New Roman" w:eastAsia="Calibri" w:hAnsi="Times New Roman" w:cs="Times New Roman"/>
          <w:b/>
          <w:bCs/>
          <w:sz w:val="24"/>
          <w:szCs w:val="24"/>
        </w:rPr>
      </w:pPr>
      <w:r w:rsidRPr="0044579C">
        <w:rPr>
          <w:rFonts w:ascii="Times New Roman" w:eastAsia="Calibri" w:hAnsi="Times New Roman" w:cs="Times New Roman"/>
          <w:b/>
          <w:bCs/>
          <w:sz w:val="24"/>
          <w:szCs w:val="24"/>
        </w:rPr>
        <w:t>Bilanca na dan 31.12.2018.</w:t>
      </w:r>
    </w:p>
    <w:p w:rsidR="0043470C" w:rsidRPr="0044579C" w:rsidRDefault="0043470C" w:rsidP="004D7C56">
      <w:pPr>
        <w:spacing w:after="0" w:line="276" w:lineRule="auto"/>
        <w:jc w:val="both"/>
        <w:rPr>
          <w:rFonts w:ascii="Times New Roman" w:eastAsia="Calibri" w:hAnsi="Times New Roman" w:cs="Times New Roman"/>
          <w:b/>
          <w:bCs/>
          <w:sz w:val="24"/>
          <w:szCs w:val="24"/>
        </w:rPr>
      </w:pPr>
    </w:p>
    <w:p w:rsidR="00241CE6" w:rsidRPr="0044579C" w:rsidRDefault="000F7596" w:rsidP="00D340F3">
      <w:pPr>
        <w:spacing w:after="0" w:line="276" w:lineRule="auto"/>
        <w:ind w:firstLine="708"/>
        <w:jc w:val="both"/>
        <w:rPr>
          <w:rFonts w:ascii="Times New Roman" w:eastAsia="Calibri" w:hAnsi="Times New Roman" w:cs="Times New Roman"/>
          <w:sz w:val="24"/>
          <w:szCs w:val="24"/>
        </w:rPr>
      </w:pPr>
      <w:r w:rsidRPr="0044579C">
        <w:rPr>
          <w:rFonts w:ascii="Times New Roman" w:eastAsia="Calibri" w:hAnsi="Times New Roman" w:cs="Times New Roman"/>
          <w:sz w:val="24"/>
          <w:szCs w:val="24"/>
        </w:rPr>
        <w:t xml:space="preserve">Prema podacima iz Bilance na dan 31. prosinca 2018. godine ukupna vrijednost </w:t>
      </w:r>
      <w:r w:rsidR="00913585" w:rsidRPr="0044579C">
        <w:rPr>
          <w:rFonts w:ascii="Times New Roman" w:eastAsia="Calibri" w:hAnsi="Times New Roman" w:cs="Times New Roman"/>
          <w:sz w:val="24"/>
          <w:szCs w:val="24"/>
        </w:rPr>
        <w:t>imovine te obveza i vlastitih izvora iskazana je u iznosu od 2.276.625.37</w:t>
      </w:r>
      <w:r w:rsidR="00417998" w:rsidRPr="0044579C">
        <w:rPr>
          <w:rFonts w:ascii="Times New Roman" w:eastAsia="Calibri" w:hAnsi="Times New Roman" w:cs="Times New Roman"/>
          <w:sz w:val="24"/>
          <w:szCs w:val="24"/>
        </w:rPr>
        <w:t>5</w:t>
      </w:r>
      <w:r w:rsidR="00913585" w:rsidRPr="0044579C">
        <w:rPr>
          <w:rFonts w:ascii="Times New Roman" w:eastAsia="Calibri" w:hAnsi="Times New Roman" w:cs="Times New Roman"/>
          <w:sz w:val="24"/>
          <w:szCs w:val="24"/>
        </w:rPr>
        <w:t xml:space="preserve"> kn</w:t>
      </w:r>
      <w:r w:rsidR="00417998" w:rsidRPr="0044579C">
        <w:rPr>
          <w:rFonts w:ascii="Times New Roman" w:eastAsia="Calibri" w:hAnsi="Times New Roman" w:cs="Times New Roman"/>
          <w:sz w:val="24"/>
          <w:szCs w:val="24"/>
        </w:rPr>
        <w:t xml:space="preserve"> i u odnosu na prethodnu godinu manja je za 48.364.311 kn</w:t>
      </w:r>
      <w:r w:rsidR="004173D5" w:rsidRPr="0044579C">
        <w:rPr>
          <w:rFonts w:ascii="Times New Roman" w:eastAsia="Calibri" w:hAnsi="Times New Roman" w:cs="Times New Roman"/>
          <w:sz w:val="24"/>
          <w:szCs w:val="24"/>
        </w:rPr>
        <w:t>.</w:t>
      </w:r>
      <w:r w:rsidR="00F10712" w:rsidRPr="0044579C">
        <w:rPr>
          <w:rFonts w:ascii="Times New Roman" w:eastAsia="Calibri" w:hAnsi="Times New Roman" w:cs="Times New Roman"/>
          <w:sz w:val="24"/>
          <w:szCs w:val="24"/>
        </w:rPr>
        <w:t xml:space="preserve"> </w:t>
      </w:r>
      <w:r w:rsidR="00E44A7E" w:rsidRPr="0044579C">
        <w:rPr>
          <w:rFonts w:ascii="Times New Roman" w:eastAsia="Calibri" w:hAnsi="Times New Roman" w:cs="Times New Roman"/>
          <w:sz w:val="24"/>
          <w:szCs w:val="24"/>
        </w:rPr>
        <w:t>U</w:t>
      </w:r>
      <w:r w:rsidR="00F10712" w:rsidRPr="0044579C">
        <w:rPr>
          <w:rFonts w:ascii="Times New Roman" w:eastAsia="Calibri" w:hAnsi="Times New Roman" w:cs="Times New Roman"/>
          <w:sz w:val="24"/>
          <w:szCs w:val="24"/>
        </w:rPr>
        <w:t xml:space="preserve"> nastavku se daje tabelarni prikaz stanja Bilance na početku i na kraju 2018. godine</w:t>
      </w:r>
    </w:p>
    <w:p w:rsidR="00D340F3" w:rsidRPr="0044579C" w:rsidRDefault="00D340F3" w:rsidP="00D340F3">
      <w:pPr>
        <w:spacing w:after="0" w:line="276" w:lineRule="auto"/>
        <w:jc w:val="both"/>
        <w:rPr>
          <w:rFonts w:ascii="Times New Roman" w:eastAsia="Calibri" w:hAnsi="Times New Roman" w:cs="Times New Roman"/>
          <w:sz w:val="24"/>
          <w:szCs w:val="24"/>
        </w:rPr>
      </w:pPr>
    </w:p>
    <w:p w:rsidR="00F10712" w:rsidRPr="0044579C" w:rsidRDefault="00F10712" w:rsidP="004D7C56">
      <w:pPr>
        <w:spacing w:after="0" w:line="276" w:lineRule="auto"/>
        <w:jc w:val="both"/>
        <w:rPr>
          <w:rFonts w:ascii="Times New Roman" w:eastAsia="Calibri" w:hAnsi="Times New Roman" w:cs="Times New Roman"/>
          <w:b/>
          <w:bCs/>
          <w:sz w:val="24"/>
          <w:szCs w:val="24"/>
        </w:rPr>
      </w:pPr>
    </w:p>
    <w:tbl>
      <w:tblPr>
        <w:tblpPr w:leftFromText="180" w:rightFromText="180" w:vertAnchor="text" w:horzAnchor="margin" w:tblpXSpec="center" w:tblpY="13"/>
        <w:tblW w:w="8996" w:type="dxa"/>
        <w:tblLook w:val="04A0" w:firstRow="1" w:lastRow="0" w:firstColumn="1" w:lastColumn="0" w:noHBand="0" w:noVBand="1"/>
      </w:tblPr>
      <w:tblGrid>
        <w:gridCol w:w="4957"/>
        <w:gridCol w:w="1984"/>
        <w:gridCol w:w="2055"/>
      </w:tblGrid>
      <w:tr w:rsidR="009F2C95" w:rsidRPr="0044579C" w:rsidTr="00790261">
        <w:trPr>
          <w:trHeight w:val="701"/>
        </w:trPr>
        <w:tc>
          <w:tcPr>
            <w:tcW w:w="4957"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9F2C95" w:rsidRPr="0044579C" w:rsidRDefault="009F2C95" w:rsidP="009F2C95">
            <w:pPr>
              <w:spacing w:after="0" w:line="240" w:lineRule="auto"/>
              <w:jc w:val="center"/>
              <w:rPr>
                <w:rFonts w:ascii="Times New Roman" w:eastAsia="Times New Roman" w:hAnsi="Times New Roman" w:cs="Times New Roman"/>
                <w:b/>
                <w:bCs/>
                <w:color w:val="000000"/>
                <w:lang w:eastAsia="hr-HR"/>
              </w:rPr>
            </w:pPr>
            <w:r w:rsidRPr="0044579C">
              <w:rPr>
                <w:rFonts w:ascii="Times New Roman" w:eastAsia="Times New Roman" w:hAnsi="Times New Roman" w:cs="Times New Roman"/>
                <w:b/>
                <w:bCs/>
                <w:color w:val="000000"/>
                <w:lang w:eastAsia="hr-HR"/>
              </w:rPr>
              <w:t>Opis</w:t>
            </w:r>
          </w:p>
        </w:tc>
        <w:tc>
          <w:tcPr>
            <w:tcW w:w="1984" w:type="dxa"/>
            <w:tcBorders>
              <w:top w:val="single" w:sz="4" w:space="0" w:color="auto"/>
              <w:left w:val="nil"/>
              <w:bottom w:val="single" w:sz="4" w:space="0" w:color="auto"/>
              <w:right w:val="single" w:sz="4" w:space="0" w:color="auto"/>
            </w:tcBorders>
            <w:shd w:val="clear" w:color="000000" w:fill="8EA9DB"/>
            <w:noWrap/>
            <w:vAlign w:val="center"/>
            <w:hideMark/>
          </w:tcPr>
          <w:p w:rsidR="009F2C95" w:rsidRDefault="009F2C95" w:rsidP="00790261">
            <w:pPr>
              <w:spacing w:after="0" w:line="240" w:lineRule="auto"/>
              <w:rPr>
                <w:rFonts w:ascii="Times New Roman" w:eastAsia="Times New Roman" w:hAnsi="Times New Roman" w:cs="Times New Roman"/>
                <w:b/>
                <w:bCs/>
                <w:color w:val="000000"/>
                <w:lang w:eastAsia="hr-HR"/>
              </w:rPr>
            </w:pPr>
            <w:r w:rsidRPr="0044579C">
              <w:rPr>
                <w:rFonts w:ascii="Times New Roman" w:eastAsia="Times New Roman" w:hAnsi="Times New Roman" w:cs="Times New Roman"/>
                <w:b/>
                <w:bCs/>
                <w:color w:val="000000"/>
                <w:lang w:eastAsia="hr-HR"/>
              </w:rPr>
              <w:t>Stanje 01.01.2018.</w:t>
            </w:r>
          </w:p>
          <w:p w:rsidR="007568EA" w:rsidRPr="0044579C" w:rsidRDefault="007568EA" w:rsidP="00790261">
            <w:pPr>
              <w:spacing w:after="0" w:line="240" w:lineRule="auto"/>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 xml:space="preserve">            (kn)</w:t>
            </w:r>
          </w:p>
        </w:tc>
        <w:tc>
          <w:tcPr>
            <w:tcW w:w="2055" w:type="dxa"/>
            <w:tcBorders>
              <w:top w:val="single" w:sz="4" w:space="0" w:color="auto"/>
              <w:left w:val="nil"/>
              <w:bottom w:val="single" w:sz="4" w:space="0" w:color="auto"/>
              <w:right w:val="single" w:sz="4" w:space="0" w:color="auto"/>
            </w:tcBorders>
            <w:shd w:val="clear" w:color="000000" w:fill="8EA9DB"/>
            <w:noWrap/>
            <w:vAlign w:val="center"/>
            <w:hideMark/>
          </w:tcPr>
          <w:p w:rsidR="009F2C95" w:rsidRDefault="009F2C95" w:rsidP="007568EA">
            <w:pPr>
              <w:spacing w:after="0" w:line="240" w:lineRule="auto"/>
              <w:rPr>
                <w:rFonts w:ascii="Times New Roman" w:eastAsia="Times New Roman" w:hAnsi="Times New Roman" w:cs="Times New Roman"/>
                <w:b/>
                <w:bCs/>
                <w:color w:val="000000"/>
                <w:lang w:eastAsia="hr-HR"/>
              </w:rPr>
            </w:pPr>
            <w:r w:rsidRPr="0044579C">
              <w:rPr>
                <w:rFonts w:ascii="Times New Roman" w:eastAsia="Times New Roman" w:hAnsi="Times New Roman" w:cs="Times New Roman"/>
                <w:b/>
                <w:bCs/>
                <w:color w:val="000000"/>
                <w:lang w:eastAsia="hr-HR"/>
              </w:rPr>
              <w:t>Stanje 31.12.2018.</w:t>
            </w:r>
          </w:p>
          <w:p w:rsidR="007568EA" w:rsidRPr="0044579C" w:rsidRDefault="007568EA" w:rsidP="007568EA">
            <w:pPr>
              <w:spacing w:after="0" w:line="240" w:lineRule="auto"/>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 xml:space="preserve">            (kn)</w:t>
            </w:r>
          </w:p>
        </w:tc>
      </w:tr>
      <w:tr w:rsidR="009F2C95" w:rsidRPr="0044579C" w:rsidTr="00790261">
        <w:trPr>
          <w:trHeight w:val="300"/>
        </w:trPr>
        <w:tc>
          <w:tcPr>
            <w:tcW w:w="4957" w:type="dxa"/>
            <w:tcBorders>
              <w:top w:val="nil"/>
              <w:left w:val="single" w:sz="4" w:space="0" w:color="auto"/>
              <w:bottom w:val="single" w:sz="4" w:space="0" w:color="auto"/>
              <w:right w:val="single" w:sz="4" w:space="0" w:color="auto"/>
            </w:tcBorders>
            <w:shd w:val="clear" w:color="000000" w:fill="D9E1F2"/>
            <w:noWrap/>
            <w:vAlign w:val="center"/>
            <w:hideMark/>
          </w:tcPr>
          <w:p w:rsidR="009F2C95" w:rsidRPr="0044579C" w:rsidRDefault="009F2C95" w:rsidP="009F2C95">
            <w:pPr>
              <w:spacing w:after="0" w:line="240" w:lineRule="auto"/>
              <w:rPr>
                <w:rFonts w:ascii="Times New Roman" w:eastAsia="Times New Roman" w:hAnsi="Times New Roman" w:cs="Times New Roman"/>
                <w:b/>
                <w:bCs/>
                <w:color w:val="000000"/>
                <w:lang w:eastAsia="hr-HR"/>
              </w:rPr>
            </w:pPr>
            <w:r w:rsidRPr="0044579C">
              <w:rPr>
                <w:rFonts w:ascii="Times New Roman" w:eastAsia="Times New Roman" w:hAnsi="Times New Roman" w:cs="Times New Roman"/>
                <w:b/>
                <w:bCs/>
                <w:color w:val="000000"/>
                <w:lang w:eastAsia="hr-HR"/>
              </w:rPr>
              <w:t>Nefinancijska imovina</w:t>
            </w:r>
          </w:p>
        </w:tc>
        <w:tc>
          <w:tcPr>
            <w:tcW w:w="1984" w:type="dxa"/>
            <w:tcBorders>
              <w:top w:val="nil"/>
              <w:left w:val="nil"/>
              <w:bottom w:val="single" w:sz="4" w:space="0" w:color="auto"/>
              <w:right w:val="single" w:sz="4" w:space="0" w:color="auto"/>
            </w:tcBorders>
            <w:shd w:val="clear" w:color="000000" w:fill="D9E1F2"/>
            <w:vAlign w:val="center"/>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1.340.336.688,99</w:t>
            </w:r>
          </w:p>
        </w:tc>
        <w:tc>
          <w:tcPr>
            <w:tcW w:w="2055" w:type="dxa"/>
            <w:tcBorders>
              <w:top w:val="nil"/>
              <w:left w:val="nil"/>
              <w:bottom w:val="single" w:sz="4" w:space="0" w:color="auto"/>
              <w:right w:val="single" w:sz="4" w:space="0" w:color="auto"/>
            </w:tcBorders>
            <w:shd w:val="clear" w:color="000000" w:fill="D9E1F2"/>
            <w:vAlign w:val="center"/>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1.306.429.021,63</w:t>
            </w:r>
          </w:p>
        </w:tc>
      </w:tr>
      <w:tr w:rsidR="009F2C95" w:rsidRPr="0044579C" w:rsidTr="00790261">
        <w:trPr>
          <w:trHeight w:val="30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rsidR="009F2C95" w:rsidRPr="0044579C" w:rsidRDefault="009F2C95" w:rsidP="009F2C95">
            <w:pPr>
              <w:spacing w:after="0" w:line="240" w:lineRule="auto"/>
              <w:rPr>
                <w:rFonts w:ascii="Times New Roman" w:eastAsia="Times New Roman" w:hAnsi="Times New Roman" w:cs="Times New Roman"/>
                <w:color w:val="000000"/>
                <w:lang w:eastAsia="hr-HR"/>
              </w:rPr>
            </w:pPr>
            <w:proofErr w:type="spellStart"/>
            <w:r w:rsidRPr="0044579C">
              <w:rPr>
                <w:rFonts w:ascii="Times New Roman" w:eastAsia="Times New Roman" w:hAnsi="Times New Roman" w:cs="Times New Roman"/>
                <w:color w:val="000000"/>
                <w:lang w:eastAsia="hr-HR"/>
              </w:rPr>
              <w:t>Neproizvedena</w:t>
            </w:r>
            <w:proofErr w:type="spellEnd"/>
            <w:r w:rsidRPr="0044579C">
              <w:rPr>
                <w:rFonts w:ascii="Times New Roman" w:eastAsia="Times New Roman" w:hAnsi="Times New Roman" w:cs="Times New Roman"/>
                <w:color w:val="000000"/>
                <w:lang w:eastAsia="hr-HR"/>
              </w:rPr>
              <w:t xml:space="preserve"> dugotrajna imovina</w:t>
            </w:r>
          </w:p>
        </w:tc>
        <w:tc>
          <w:tcPr>
            <w:tcW w:w="1984" w:type="dxa"/>
            <w:tcBorders>
              <w:top w:val="nil"/>
              <w:left w:val="nil"/>
              <w:bottom w:val="single" w:sz="4" w:space="0" w:color="auto"/>
              <w:right w:val="single" w:sz="4" w:space="0" w:color="auto"/>
            </w:tcBorders>
            <w:shd w:val="clear" w:color="auto" w:fill="auto"/>
            <w:noWrap/>
            <w:vAlign w:val="bottom"/>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92.586.685,04</w:t>
            </w:r>
          </w:p>
        </w:tc>
        <w:tc>
          <w:tcPr>
            <w:tcW w:w="2055" w:type="dxa"/>
            <w:tcBorders>
              <w:top w:val="nil"/>
              <w:left w:val="nil"/>
              <w:bottom w:val="single" w:sz="4" w:space="0" w:color="auto"/>
              <w:right w:val="single" w:sz="4" w:space="0" w:color="auto"/>
            </w:tcBorders>
            <w:shd w:val="clear" w:color="000000" w:fill="FFFFFF"/>
            <w:vAlign w:val="center"/>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96.848.562,08</w:t>
            </w:r>
          </w:p>
        </w:tc>
      </w:tr>
      <w:tr w:rsidR="009F2C95" w:rsidRPr="0044579C" w:rsidTr="00790261">
        <w:trPr>
          <w:trHeight w:val="30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rsidR="009F2C95" w:rsidRPr="0044579C" w:rsidRDefault="009F2C95" w:rsidP="009F2C95">
            <w:pPr>
              <w:spacing w:after="0" w:line="240" w:lineRule="auto"/>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Proizvedena dugotrajna imovina</w:t>
            </w:r>
          </w:p>
        </w:tc>
        <w:tc>
          <w:tcPr>
            <w:tcW w:w="1984" w:type="dxa"/>
            <w:tcBorders>
              <w:top w:val="nil"/>
              <w:left w:val="nil"/>
              <w:bottom w:val="single" w:sz="4" w:space="0" w:color="auto"/>
              <w:right w:val="single" w:sz="4" w:space="0" w:color="auto"/>
            </w:tcBorders>
            <w:shd w:val="clear" w:color="auto" w:fill="auto"/>
            <w:noWrap/>
            <w:vAlign w:val="bottom"/>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1.247.750.003,95</w:t>
            </w:r>
          </w:p>
        </w:tc>
        <w:tc>
          <w:tcPr>
            <w:tcW w:w="2055" w:type="dxa"/>
            <w:tcBorders>
              <w:top w:val="nil"/>
              <w:left w:val="nil"/>
              <w:bottom w:val="single" w:sz="4" w:space="0" w:color="auto"/>
              <w:right w:val="single" w:sz="4" w:space="0" w:color="auto"/>
            </w:tcBorders>
            <w:shd w:val="clear" w:color="000000" w:fill="FFFFFF"/>
            <w:vAlign w:val="center"/>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1.205.914.581,48</w:t>
            </w:r>
          </w:p>
        </w:tc>
      </w:tr>
      <w:tr w:rsidR="009F2C95" w:rsidRPr="0044579C" w:rsidTr="00790261">
        <w:trPr>
          <w:trHeight w:val="30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rsidR="009F2C95" w:rsidRPr="0044579C" w:rsidRDefault="009F2C95" w:rsidP="009F2C95">
            <w:pPr>
              <w:spacing w:after="0" w:line="240" w:lineRule="auto"/>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Dugotrajna nefinancijska imovina u pripremi</w:t>
            </w:r>
          </w:p>
        </w:tc>
        <w:tc>
          <w:tcPr>
            <w:tcW w:w="1984" w:type="dxa"/>
            <w:tcBorders>
              <w:top w:val="nil"/>
              <w:left w:val="nil"/>
              <w:bottom w:val="single" w:sz="4" w:space="0" w:color="auto"/>
              <w:right w:val="single" w:sz="4" w:space="0" w:color="auto"/>
            </w:tcBorders>
            <w:shd w:val="clear" w:color="auto" w:fill="auto"/>
            <w:noWrap/>
            <w:vAlign w:val="bottom"/>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p>
        </w:tc>
        <w:tc>
          <w:tcPr>
            <w:tcW w:w="2055" w:type="dxa"/>
            <w:tcBorders>
              <w:top w:val="nil"/>
              <w:left w:val="nil"/>
              <w:bottom w:val="single" w:sz="4" w:space="0" w:color="auto"/>
              <w:right w:val="single" w:sz="4" w:space="0" w:color="auto"/>
            </w:tcBorders>
            <w:shd w:val="clear" w:color="000000" w:fill="FFFFFF"/>
            <w:vAlign w:val="center"/>
            <w:hideMark/>
          </w:tcPr>
          <w:p w:rsidR="009F2C95" w:rsidRPr="0044579C" w:rsidRDefault="009F2C95" w:rsidP="0026787D">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3.665.878,07</w:t>
            </w:r>
          </w:p>
        </w:tc>
      </w:tr>
      <w:tr w:rsidR="009F2C95" w:rsidRPr="0044579C" w:rsidTr="00790261">
        <w:trPr>
          <w:trHeight w:val="300"/>
        </w:trPr>
        <w:tc>
          <w:tcPr>
            <w:tcW w:w="4957" w:type="dxa"/>
            <w:tcBorders>
              <w:top w:val="nil"/>
              <w:left w:val="single" w:sz="4" w:space="0" w:color="auto"/>
              <w:bottom w:val="single" w:sz="4" w:space="0" w:color="auto"/>
              <w:right w:val="single" w:sz="4" w:space="0" w:color="auto"/>
            </w:tcBorders>
            <w:shd w:val="clear" w:color="000000" w:fill="D9E1F2"/>
            <w:noWrap/>
            <w:vAlign w:val="center"/>
            <w:hideMark/>
          </w:tcPr>
          <w:p w:rsidR="009F2C95" w:rsidRPr="0044579C" w:rsidRDefault="009F2C95" w:rsidP="009F2C95">
            <w:pPr>
              <w:spacing w:after="0" w:line="240" w:lineRule="auto"/>
              <w:rPr>
                <w:rFonts w:ascii="Times New Roman" w:eastAsia="Times New Roman" w:hAnsi="Times New Roman" w:cs="Times New Roman"/>
                <w:b/>
                <w:bCs/>
                <w:color w:val="000000"/>
                <w:lang w:eastAsia="hr-HR"/>
              </w:rPr>
            </w:pPr>
            <w:r w:rsidRPr="0044579C">
              <w:rPr>
                <w:rFonts w:ascii="Times New Roman" w:eastAsia="Times New Roman" w:hAnsi="Times New Roman" w:cs="Times New Roman"/>
                <w:b/>
                <w:bCs/>
                <w:color w:val="000000"/>
                <w:lang w:eastAsia="hr-HR"/>
              </w:rPr>
              <w:t>Financijska imovina</w:t>
            </w:r>
          </w:p>
        </w:tc>
        <w:tc>
          <w:tcPr>
            <w:tcW w:w="1984" w:type="dxa"/>
            <w:tcBorders>
              <w:top w:val="nil"/>
              <w:left w:val="nil"/>
              <w:bottom w:val="single" w:sz="4" w:space="0" w:color="auto"/>
              <w:right w:val="single" w:sz="4" w:space="0" w:color="auto"/>
            </w:tcBorders>
            <w:shd w:val="clear" w:color="000000" w:fill="D9E1F2"/>
            <w:vAlign w:val="center"/>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984.653.016,95</w:t>
            </w:r>
          </w:p>
        </w:tc>
        <w:tc>
          <w:tcPr>
            <w:tcW w:w="2055" w:type="dxa"/>
            <w:tcBorders>
              <w:top w:val="nil"/>
              <w:left w:val="nil"/>
              <w:bottom w:val="single" w:sz="4" w:space="0" w:color="auto"/>
              <w:right w:val="single" w:sz="4" w:space="0" w:color="auto"/>
            </w:tcBorders>
            <w:shd w:val="clear" w:color="000000" w:fill="D9E1F2"/>
            <w:vAlign w:val="center"/>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970.196.353,24</w:t>
            </w:r>
          </w:p>
        </w:tc>
      </w:tr>
      <w:tr w:rsidR="009F2C95" w:rsidRPr="0044579C" w:rsidTr="00790261">
        <w:trPr>
          <w:trHeight w:val="30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rsidR="009F2C95" w:rsidRPr="0044579C" w:rsidRDefault="009F2C95" w:rsidP="009F2C95">
            <w:pPr>
              <w:spacing w:after="0" w:line="240" w:lineRule="auto"/>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Novac u banci i blagajni</w:t>
            </w:r>
          </w:p>
        </w:tc>
        <w:tc>
          <w:tcPr>
            <w:tcW w:w="1984" w:type="dxa"/>
            <w:tcBorders>
              <w:top w:val="nil"/>
              <w:left w:val="nil"/>
              <w:bottom w:val="single" w:sz="4" w:space="0" w:color="auto"/>
              <w:right w:val="single" w:sz="4" w:space="0" w:color="auto"/>
            </w:tcBorders>
            <w:shd w:val="clear" w:color="auto" w:fill="auto"/>
            <w:noWrap/>
            <w:vAlign w:val="bottom"/>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16.116.100,04</w:t>
            </w:r>
          </w:p>
        </w:tc>
        <w:tc>
          <w:tcPr>
            <w:tcW w:w="2055" w:type="dxa"/>
            <w:tcBorders>
              <w:top w:val="nil"/>
              <w:left w:val="nil"/>
              <w:bottom w:val="single" w:sz="4" w:space="0" w:color="auto"/>
              <w:right w:val="single" w:sz="4" w:space="0" w:color="auto"/>
            </w:tcBorders>
            <w:shd w:val="clear" w:color="000000" w:fill="FFFFFF"/>
            <w:vAlign w:val="center"/>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20.058.207,52</w:t>
            </w:r>
          </w:p>
        </w:tc>
      </w:tr>
      <w:tr w:rsidR="009F2C95" w:rsidRPr="0044579C" w:rsidTr="00790261">
        <w:trPr>
          <w:trHeight w:val="595"/>
        </w:trPr>
        <w:tc>
          <w:tcPr>
            <w:tcW w:w="4957" w:type="dxa"/>
            <w:tcBorders>
              <w:top w:val="nil"/>
              <w:left w:val="single" w:sz="4" w:space="0" w:color="auto"/>
              <w:bottom w:val="single" w:sz="4" w:space="0" w:color="auto"/>
              <w:right w:val="single" w:sz="4" w:space="0" w:color="auto"/>
            </w:tcBorders>
            <w:shd w:val="clear" w:color="000000" w:fill="FFFFFF"/>
            <w:vAlign w:val="center"/>
            <w:hideMark/>
          </w:tcPr>
          <w:p w:rsidR="009F2C95" w:rsidRPr="0044579C" w:rsidRDefault="009F2C95" w:rsidP="009F2C95">
            <w:pPr>
              <w:spacing w:after="0" w:line="240" w:lineRule="auto"/>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 xml:space="preserve">Depoziti, </w:t>
            </w:r>
            <w:proofErr w:type="spellStart"/>
            <w:r w:rsidRPr="0044579C">
              <w:rPr>
                <w:rFonts w:ascii="Times New Roman" w:eastAsia="Times New Roman" w:hAnsi="Times New Roman" w:cs="Times New Roman"/>
                <w:color w:val="000000"/>
                <w:lang w:eastAsia="hr-HR"/>
              </w:rPr>
              <w:t>jamčevni</w:t>
            </w:r>
            <w:proofErr w:type="spellEnd"/>
            <w:r w:rsidRPr="0044579C">
              <w:rPr>
                <w:rFonts w:ascii="Times New Roman" w:eastAsia="Times New Roman" w:hAnsi="Times New Roman" w:cs="Times New Roman"/>
                <w:color w:val="000000"/>
                <w:lang w:eastAsia="hr-HR"/>
              </w:rPr>
              <w:t xml:space="preserve"> </w:t>
            </w:r>
            <w:proofErr w:type="spellStart"/>
            <w:r w:rsidRPr="0044579C">
              <w:rPr>
                <w:rFonts w:ascii="Times New Roman" w:eastAsia="Times New Roman" w:hAnsi="Times New Roman" w:cs="Times New Roman"/>
                <w:color w:val="000000"/>
                <w:lang w:eastAsia="hr-HR"/>
              </w:rPr>
              <w:t>polozi</w:t>
            </w:r>
            <w:proofErr w:type="spellEnd"/>
            <w:r w:rsidRPr="0044579C">
              <w:rPr>
                <w:rFonts w:ascii="Times New Roman" w:eastAsia="Times New Roman" w:hAnsi="Times New Roman" w:cs="Times New Roman"/>
                <w:color w:val="000000"/>
                <w:lang w:eastAsia="hr-HR"/>
              </w:rPr>
              <w:t xml:space="preserve"> i potraživanja od zaposlenih te za više plaćene poreze i ostalo</w:t>
            </w:r>
          </w:p>
        </w:tc>
        <w:tc>
          <w:tcPr>
            <w:tcW w:w="1984" w:type="dxa"/>
            <w:tcBorders>
              <w:top w:val="nil"/>
              <w:left w:val="nil"/>
              <w:bottom w:val="single" w:sz="4" w:space="0" w:color="auto"/>
              <w:right w:val="single" w:sz="4" w:space="0" w:color="auto"/>
            </w:tcBorders>
            <w:shd w:val="clear" w:color="auto" w:fill="auto"/>
            <w:noWrap/>
            <w:vAlign w:val="bottom"/>
            <w:hideMark/>
          </w:tcPr>
          <w:p w:rsidR="009F2C95" w:rsidRPr="0044579C" w:rsidRDefault="009F2C95" w:rsidP="0026787D">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256.065,98</w:t>
            </w:r>
          </w:p>
        </w:tc>
        <w:tc>
          <w:tcPr>
            <w:tcW w:w="2055" w:type="dxa"/>
            <w:tcBorders>
              <w:top w:val="nil"/>
              <w:left w:val="nil"/>
              <w:bottom w:val="single" w:sz="4" w:space="0" w:color="auto"/>
              <w:right w:val="single" w:sz="4" w:space="0" w:color="auto"/>
            </w:tcBorders>
            <w:shd w:val="clear" w:color="000000" w:fill="FFFFFF"/>
            <w:vAlign w:val="center"/>
            <w:hideMark/>
          </w:tcPr>
          <w:p w:rsidR="0026787D" w:rsidRPr="0044579C" w:rsidRDefault="0026787D" w:rsidP="009F2C95">
            <w:pPr>
              <w:spacing w:after="0" w:line="240" w:lineRule="auto"/>
              <w:jc w:val="right"/>
              <w:rPr>
                <w:rFonts w:ascii="Times New Roman" w:eastAsia="Times New Roman" w:hAnsi="Times New Roman" w:cs="Times New Roman"/>
                <w:color w:val="000000"/>
                <w:lang w:eastAsia="hr-HR"/>
              </w:rPr>
            </w:pPr>
          </w:p>
          <w:p w:rsidR="0026787D" w:rsidRPr="0044579C" w:rsidRDefault="0026787D" w:rsidP="009F2C95">
            <w:pPr>
              <w:spacing w:after="0" w:line="240" w:lineRule="auto"/>
              <w:jc w:val="right"/>
              <w:rPr>
                <w:rFonts w:ascii="Times New Roman" w:eastAsia="Times New Roman" w:hAnsi="Times New Roman" w:cs="Times New Roman"/>
                <w:color w:val="000000"/>
                <w:lang w:eastAsia="hr-HR"/>
              </w:rPr>
            </w:pPr>
          </w:p>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324.473,95</w:t>
            </w:r>
          </w:p>
        </w:tc>
      </w:tr>
      <w:tr w:rsidR="009F2C95" w:rsidRPr="0044579C" w:rsidTr="00790261">
        <w:trPr>
          <w:trHeight w:val="30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rsidR="009F2C95" w:rsidRPr="0044579C" w:rsidRDefault="009F2C95" w:rsidP="009F2C95">
            <w:pPr>
              <w:spacing w:after="0" w:line="240" w:lineRule="auto"/>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Zajmovi</w:t>
            </w:r>
          </w:p>
        </w:tc>
        <w:tc>
          <w:tcPr>
            <w:tcW w:w="1984" w:type="dxa"/>
            <w:tcBorders>
              <w:top w:val="nil"/>
              <w:left w:val="nil"/>
              <w:bottom w:val="single" w:sz="4" w:space="0" w:color="auto"/>
              <w:right w:val="single" w:sz="4" w:space="0" w:color="auto"/>
            </w:tcBorders>
            <w:shd w:val="clear" w:color="auto" w:fill="auto"/>
            <w:noWrap/>
            <w:vAlign w:val="bottom"/>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10.797.015,55</w:t>
            </w:r>
          </w:p>
        </w:tc>
        <w:tc>
          <w:tcPr>
            <w:tcW w:w="2055" w:type="dxa"/>
            <w:tcBorders>
              <w:top w:val="nil"/>
              <w:left w:val="nil"/>
              <w:bottom w:val="single" w:sz="4" w:space="0" w:color="auto"/>
              <w:right w:val="single" w:sz="4" w:space="0" w:color="auto"/>
            </w:tcBorders>
            <w:shd w:val="clear" w:color="000000" w:fill="FFFFFF"/>
            <w:vAlign w:val="center"/>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8.801.451,98</w:t>
            </w:r>
          </w:p>
        </w:tc>
      </w:tr>
      <w:tr w:rsidR="009F2C95" w:rsidRPr="0044579C" w:rsidTr="00790261">
        <w:trPr>
          <w:trHeight w:val="30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rsidR="009F2C95" w:rsidRPr="0044579C" w:rsidRDefault="009F2C95" w:rsidP="009F2C95">
            <w:pPr>
              <w:spacing w:after="0" w:line="240" w:lineRule="auto"/>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Dionice i udjeli u glavnici</w:t>
            </w:r>
          </w:p>
        </w:tc>
        <w:tc>
          <w:tcPr>
            <w:tcW w:w="1984" w:type="dxa"/>
            <w:tcBorders>
              <w:top w:val="nil"/>
              <w:left w:val="nil"/>
              <w:bottom w:val="single" w:sz="4" w:space="0" w:color="auto"/>
              <w:right w:val="single" w:sz="4" w:space="0" w:color="auto"/>
            </w:tcBorders>
            <w:shd w:val="clear" w:color="auto" w:fill="auto"/>
            <w:noWrap/>
            <w:vAlign w:val="bottom"/>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862.819.268,72</w:t>
            </w:r>
          </w:p>
        </w:tc>
        <w:tc>
          <w:tcPr>
            <w:tcW w:w="2055" w:type="dxa"/>
            <w:tcBorders>
              <w:top w:val="nil"/>
              <w:left w:val="nil"/>
              <w:bottom w:val="single" w:sz="4" w:space="0" w:color="auto"/>
              <w:right w:val="single" w:sz="4" w:space="0" w:color="auto"/>
            </w:tcBorders>
            <w:shd w:val="clear" w:color="000000" w:fill="FFFFFF"/>
            <w:vAlign w:val="center"/>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856.455.702,00</w:t>
            </w:r>
          </w:p>
        </w:tc>
      </w:tr>
      <w:tr w:rsidR="009F2C95" w:rsidRPr="0044579C" w:rsidTr="00790261">
        <w:trPr>
          <w:trHeight w:val="300"/>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C95" w:rsidRPr="0044579C" w:rsidRDefault="009F2C95" w:rsidP="009F2C95">
            <w:pPr>
              <w:spacing w:after="0" w:line="240" w:lineRule="auto"/>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Potraživanja za prihode poslovanja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93.726.595,70</w:t>
            </w:r>
          </w:p>
        </w:tc>
        <w:tc>
          <w:tcPr>
            <w:tcW w:w="20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83.374.743,96</w:t>
            </w:r>
          </w:p>
        </w:tc>
      </w:tr>
      <w:tr w:rsidR="009F2C95" w:rsidRPr="0044579C" w:rsidTr="00790261">
        <w:trPr>
          <w:trHeight w:val="300"/>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C95" w:rsidRPr="0044579C" w:rsidRDefault="009F2C95" w:rsidP="009F2C95">
            <w:pPr>
              <w:spacing w:after="0" w:line="240" w:lineRule="auto"/>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Potraživanja od prodaje nefinancijske imovine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749.295,54</w:t>
            </w:r>
          </w:p>
        </w:tc>
        <w:tc>
          <w:tcPr>
            <w:tcW w:w="20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787D" w:rsidRPr="0044579C" w:rsidRDefault="0026787D" w:rsidP="009F2C95">
            <w:pPr>
              <w:spacing w:after="0" w:line="240" w:lineRule="auto"/>
              <w:jc w:val="right"/>
              <w:rPr>
                <w:rFonts w:ascii="Times New Roman" w:eastAsia="Times New Roman" w:hAnsi="Times New Roman" w:cs="Times New Roman"/>
                <w:color w:val="000000"/>
                <w:lang w:eastAsia="hr-HR"/>
              </w:rPr>
            </w:pPr>
          </w:p>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772.860,48</w:t>
            </w:r>
          </w:p>
        </w:tc>
      </w:tr>
      <w:tr w:rsidR="009F2C95" w:rsidRPr="0044579C" w:rsidTr="00790261">
        <w:trPr>
          <w:trHeight w:val="600"/>
        </w:trPr>
        <w:tc>
          <w:tcPr>
            <w:tcW w:w="49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C95" w:rsidRPr="0044579C" w:rsidRDefault="009F2C95" w:rsidP="009F2C95">
            <w:pPr>
              <w:spacing w:after="0" w:line="240" w:lineRule="auto"/>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Plaćeni rashodi budućeg razdoblja i nedospjela naplata prihoda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188.675,42</w:t>
            </w:r>
          </w:p>
        </w:tc>
        <w:tc>
          <w:tcPr>
            <w:tcW w:w="20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787D" w:rsidRPr="0044579C" w:rsidRDefault="0026787D" w:rsidP="009F2C95">
            <w:pPr>
              <w:spacing w:after="0" w:line="240" w:lineRule="auto"/>
              <w:jc w:val="right"/>
              <w:rPr>
                <w:rFonts w:ascii="Times New Roman" w:eastAsia="Times New Roman" w:hAnsi="Times New Roman" w:cs="Times New Roman"/>
                <w:color w:val="000000"/>
                <w:lang w:eastAsia="hr-HR"/>
              </w:rPr>
            </w:pPr>
          </w:p>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408.913,35</w:t>
            </w:r>
          </w:p>
        </w:tc>
      </w:tr>
      <w:tr w:rsidR="009F2C95" w:rsidRPr="0044579C" w:rsidTr="00790261">
        <w:trPr>
          <w:trHeight w:val="300"/>
        </w:trPr>
        <w:tc>
          <w:tcPr>
            <w:tcW w:w="495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9F2C95" w:rsidRPr="0044579C" w:rsidRDefault="009F2C95" w:rsidP="009F2C95">
            <w:pPr>
              <w:spacing w:after="0" w:line="240" w:lineRule="auto"/>
              <w:rPr>
                <w:rFonts w:ascii="Times New Roman" w:eastAsia="Times New Roman" w:hAnsi="Times New Roman" w:cs="Times New Roman"/>
                <w:b/>
                <w:bCs/>
                <w:color w:val="000000"/>
                <w:lang w:eastAsia="hr-HR"/>
              </w:rPr>
            </w:pPr>
            <w:r w:rsidRPr="0044579C">
              <w:rPr>
                <w:rFonts w:ascii="Times New Roman" w:eastAsia="Times New Roman" w:hAnsi="Times New Roman" w:cs="Times New Roman"/>
                <w:b/>
                <w:bCs/>
                <w:color w:val="000000"/>
                <w:lang w:eastAsia="hr-HR"/>
              </w:rPr>
              <w:t>Obveze</w:t>
            </w:r>
          </w:p>
        </w:tc>
        <w:tc>
          <w:tcPr>
            <w:tcW w:w="1984"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89.677.091,66</w:t>
            </w:r>
          </w:p>
        </w:tc>
        <w:tc>
          <w:tcPr>
            <w:tcW w:w="205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78.983.898,99</w:t>
            </w:r>
          </w:p>
        </w:tc>
      </w:tr>
      <w:tr w:rsidR="009F2C95" w:rsidRPr="0044579C" w:rsidTr="00790261">
        <w:trPr>
          <w:trHeight w:val="300"/>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C95" w:rsidRPr="0044579C" w:rsidRDefault="009F2C95" w:rsidP="009F2C95">
            <w:pPr>
              <w:spacing w:after="0" w:line="240" w:lineRule="auto"/>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lastRenderedPageBreak/>
              <w:t>Obveze za rashode poslovanja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49.838.789,03</w:t>
            </w:r>
          </w:p>
        </w:tc>
        <w:tc>
          <w:tcPr>
            <w:tcW w:w="20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42.066.756,93</w:t>
            </w:r>
          </w:p>
        </w:tc>
      </w:tr>
      <w:tr w:rsidR="009F2C95" w:rsidRPr="0044579C" w:rsidTr="00790261">
        <w:trPr>
          <w:trHeight w:val="300"/>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C95" w:rsidRPr="0044579C" w:rsidRDefault="009F2C95" w:rsidP="009F2C95">
            <w:pPr>
              <w:spacing w:after="0" w:line="240" w:lineRule="auto"/>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Obveze za nabavu nefinancijske imovine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5.731.444,81</w:t>
            </w:r>
          </w:p>
        </w:tc>
        <w:tc>
          <w:tcPr>
            <w:tcW w:w="20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8.276.359,15</w:t>
            </w:r>
          </w:p>
        </w:tc>
      </w:tr>
      <w:tr w:rsidR="009F2C95" w:rsidRPr="0044579C" w:rsidTr="00790261">
        <w:trPr>
          <w:trHeight w:val="300"/>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C95" w:rsidRPr="0044579C" w:rsidRDefault="009F2C95" w:rsidP="009F2C95">
            <w:pPr>
              <w:spacing w:after="0" w:line="240" w:lineRule="auto"/>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Obveze za zajmove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34.106.857,82</w:t>
            </w:r>
          </w:p>
        </w:tc>
        <w:tc>
          <w:tcPr>
            <w:tcW w:w="20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28.640.782,91</w:t>
            </w:r>
          </w:p>
        </w:tc>
      </w:tr>
      <w:tr w:rsidR="009F2C95" w:rsidRPr="0044579C" w:rsidTr="00790261">
        <w:trPr>
          <w:trHeight w:val="300"/>
        </w:trPr>
        <w:tc>
          <w:tcPr>
            <w:tcW w:w="495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9F2C95" w:rsidRPr="0044579C" w:rsidRDefault="009F2C95" w:rsidP="009F2C95">
            <w:pPr>
              <w:spacing w:after="0" w:line="240" w:lineRule="auto"/>
              <w:rPr>
                <w:rFonts w:ascii="Times New Roman" w:eastAsia="Times New Roman" w:hAnsi="Times New Roman" w:cs="Times New Roman"/>
                <w:b/>
                <w:bCs/>
                <w:color w:val="000000"/>
                <w:lang w:eastAsia="hr-HR"/>
              </w:rPr>
            </w:pPr>
            <w:r w:rsidRPr="0044579C">
              <w:rPr>
                <w:rFonts w:ascii="Times New Roman" w:eastAsia="Times New Roman" w:hAnsi="Times New Roman" w:cs="Times New Roman"/>
                <w:b/>
                <w:bCs/>
                <w:color w:val="000000"/>
                <w:lang w:eastAsia="hr-HR"/>
              </w:rPr>
              <w:t>Vlastiti izvori</w:t>
            </w:r>
          </w:p>
        </w:tc>
        <w:tc>
          <w:tcPr>
            <w:tcW w:w="1984"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2.235.312.614,28</w:t>
            </w:r>
          </w:p>
        </w:tc>
        <w:tc>
          <w:tcPr>
            <w:tcW w:w="205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2.197.641.475,88</w:t>
            </w:r>
          </w:p>
        </w:tc>
      </w:tr>
      <w:tr w:rsidR="009F2C95" w:rsidRPr="0044579C" w:rsidTr="00790261">
        <w:trPr>
          <w:trHeight w:val="300"/>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C95" w:rsidRPr="0044579C" w:rsidRDefault="009F2C95" w:rsidP="009F2C95">
            <w:pPr>
              <w:spacing w:after="0" w:line="240" w:lineRule="auto"/>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Vlastiti izvori i ispravak vlastitih izvora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2.184.020.765,09</w:t>
            </w:r>
          </w:p>
        </w:tc>
        <w:tc>
          <w:tcPr>
            <w:tcW w:w="20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2.147.220.042,35</w:t>
            </w:r>
          </w:p>
        </w:tc>
      </w:tr>
      <w:tr w:rsidR="009F2C95" w:rsidRPr="0044579C" w:rsidTr="00790261">
        <w:trPr>
          <w:trHeight w:val="300"/>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C95" w:rsidRPr="0044579C" w:rsidRDefault="009F2C95" w:rsidP="009F2C95">
            <w:pPr>
              <w:spacing w:after="0" w:line="240" w:lineRule="auto"/>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Rezultat poslovanja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42.428.890,56</w:t>
            </w:r>
          </w:p>
        </w:tc>
        <w:tc>
          <w:tcPr>
            <w:tcW w:w="20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33.025.977,81</w:t>
            </w:r>
          </w:p>
        </w:tc>
      </w:tr>
      <w:tr w:rsidR="009F2C95" w:rsidRPr="0044579C" w:rsidTr="00790261">
        <w:trPr>
          <w:trHeight w:val="300"/>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C95" w:rsidRPr="0044579C" w:rsidRDefault="009F2C95" w:rsidP="009F2C95">
            <w:pPr>
              <w:spacing w:after="0" w:line="240" w:lineRule="auto"/>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Obračunati prihodi poslovanja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92.971.444,21</w:t>
            </w:r>
          </w:p>
        </w:tc>
        <w:tc>
          <w:tcPr>
            <w:tcW w:w="20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83.183.814,12</w:t>
            </w:r>
          </w:p>
        </w:tc>
      </w:tr>
      <w:tr w:rsidR="009F2C95" w:rsidRPr="0044579C" w:rsidTr="00790261">
        <w:trPr>
          <w:trHeight w:val="387"/>
        </w:trPr>
        <w:tc>
          <w:tcPr>
            <w:tcW w:w="49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C95" w:rsidRPr="0044579C" w:rsidRDefault="009F2C95" w:rsidP="009F2C95">
            <w:pPr>
              <w:spacing w:after="0" w:line="240" w:lineRule="auto"/>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Obračunati prihodi od prodaje nefinancijske imovine</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749.295,54</w:t>
            </w:r>
          </w:p>
        </w:tc>
        <w:tc>
          <w:tcPr>
            <w:tcW w:w="20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263.597,22</w:t>
            </w:r>
          </w:p>
        </w:tc>
      </w:tr>
      <w:tr w:rsidR="009F2C95" w:rsidRPr="0044579C" w:rsidTr="00790261">
        <w:trPr>
          <w:trHeight w:val="300"/>
        </w:trPr>
        <w:tc>
          <w:tcPr>
            <w:tcW w:w="49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C95" w:rsidRPr="0044579C" w:rsidRDefault="009F2C95" w:rsidP="009F2C95">
            <w:pPr>
              <w:spacing w:after="0" w:line="240" w:lineRule="auto"/>
              <w:rPr>
                <w:rFonts w:ascii="Times New Roman" w:eastAsia="Times New Roman" w:hAnsi="Times New Roman" w:cs="Times New Roman"/>
                <w:color w:val="000000"/>
                <w:lang w:eastAsia="hr-HR"/>
              </w:rPr>
            </w:pPr>
            <w:proofErr w:type="spellStart"/>
            <w:r w:rsidRPr="0044579C">
              <w:rPr>
                <w:rFonts w:ascii="Times New Roman" w:eastAsia="Times New Roman" w:hAnsi="Times New Roman" w:cs="Times New Roman"/>
                <w:color w:val="000000"/>
                <w:lang w:eastAsia="hr-HR"/>
              </w:rPr>
              <w:t>Izvanbilančni</w:t>
            </w:r>
            <w:proofErr w:type="spellEnd"/>
            <w:r w:rsidRPr="0044579C">
              <w:rPr>
                <w:rFonts w:ascii="Times New Roman" w:eastAsia="Times New Roman" w:hAnsi="Times New Roman" w:cs="Times New Roman"/>
                <w:color w:val="000000"/>
                <w:lang w:eastAsia="hr-HR"/>
              </w:rPr>
              <w:t xml:space="preserve"> zapisi</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152.705.042,50</w:t>
            </w:r>
          </w:p>
        </w:tc>
        <w:tc>
          <w:tcPr>
            <w:tcW w:w="20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C95" w:rsidRPr="0044579C" w:rsidRDefault="009F2C95" w:rsidP="009F2C95">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193.596.940,33</w:t>
            </w:r>
          </w:p>
        </w:tc>
      </w:tr>
    </w:tbl>
    <w:p w:rsidR="00241CE6" w:rsidRPr="0044579C" w:rsidRDefault="00241CE6" w:rsidP="004D7C56">
      <w:pPr>
        <w:spacing w:after="0" w:line="276" w:lineRule="auto"/>
        <w:jc w:val="both"/>
        <w:rPr>
          <w:rFonts w:ascii="Times New Roman" w:eastAsia="Calibri" w:hAnsi="Times New Roman" w:cs="Times New Roman"/>
          <w:b/>
          <w:bCs/>
          <w:sz w:val="24"/>
          <w:szCs w:val="24"/>
        </w:rPr>
      </w:pPr>
    </w:p>
    <w:p w:rsidR="00F10712" w:rsidRPr="005E72AC" w:rsidRDefault="00F10712" w:rsidP="004D7C56">
      <w:pPr>
        <w:spacing w:after="0" w:line="276" w:lineRule="auto"/>
        <w:jc w:val="both"/>
        <w:rPr>
          <w:rFonts w:ascii="Times New Roman" w:eastAsia="Calibri" w:hAnsi="Times New Roman" w:cs="Times New Roman"/>
          <w:sz w:val="24"/>
          <w:szCs w:val="24"/>
        </w:rPr>
      </w:pPr>
    </w:p>
    <w:p w:rsidR="00241CE6" w:rsidRPr="005E72AC" w:rsidRDefault="0082748D" w:rsidP="0082748D">
      <w:pPr>
        <w:pStyle w:val="Odlomakpopisa"/>
        <w:numPr>
          <w:ilvl w:val="0"/>
          <w:numId w:val="11"/>
        </w:numPr>
        <w:spacing w:after="0" w:line="276" w:lineRule="auto"/>
        <w:jc w:val="both"/>
        <w:rPr>
          <w:rFonts w:ascii="Times New Roman" w:eastAsia="Calibri" w:hAnsi="Times New Roman" w:cs="Times New Roman"/>
          <w:sz w:val="24"/>
          <w:szCs w:val="24"/>
        </w:rPr>
      </w:pPr>
      <w:r w:rsidRPr="005E72AC">
        <w:rPr>
          <w:rFonts w:ascii="Times New Roman" w:eastAsia="Calibri" w:hAnsi="Times New Roman" w:cs="Times New Roman"/>
          <w:sz w:val="24"/>
          <w:szCs w:val="24"/>
        </w:rPr>
        <w:t>Nefinancijska imovina</w:t>
      </w:r>
    </w:p>
    <w:p w:rsidR="00241CE6" w:rsidRPr="0044579C" w:rsidRDefault="00241CE6" w:rsidP="004D7C56">
      <w:pPr>
        <w:spacing w:after="0" w:line="276" w:lineRule="auto"/>
        <w:jc w:val="both"/>
        <w:rPr>
          <w:rFonts w:ascii="Times New Roman" w:eastAsia="Calibri" w:hAnsi="Times New Roman" w:cs="Times New Roman"/>
          <w:b/>
          <w:bCs/>
          <w:sz w:val="24"/>
          <w:szCs w:val="24"/>
        </w:rPr>
      </w:pPr>
    </w:p>
    <w:p w:rsidR="00561F52" w:rsidRPr="0044579C" w:rsidRDefault="004173D5" w:rsidP="0082748D">
      <w:pPr>
        <w:pStyle w:val="Tijeloteksta3"/>
        <w:ind w:firstLine="720"/>
        <w:jc w:val="both"/>
        <w:rPr>
          <w:rFonts w:eastAsia="Calibri"/>
          <w:sz w:val="24"/>
          <w:szCs w:val="24"/>
          <w:lang w:val="hr-HR"/>
        </w:rPr>
      </w:pPr>
      <w:r w:rsidRPr="0044579C">
        <w:rPr>
          <w:rFonts w:eastAsia="Calibri"/>
          <w:sz w:val="24"/>
          <w:szCs w:val="24"/>
          <w:lang w:val="hr-HR"/>
        </w:rPr>
        <w:t xml:space="preserve">Nefinancijska imovina čini 57,38% aktive, a </w:t>
      </w:r>
      <w:r w:rsidR="000337E6" w:rsidRPr="0044579C">
        <w:rPr>
          <w:rFonts w:eastAsia="Calibri"/>
          <w:sz w:val="24"/>
          <w:szCs w:val="24"/>
          <w:lang w:val="hr-HR"/>
        </w:rPr>
        <w:t xml:space="preserve">90,8% </w:t>
      </w:r>
      <w:r w:rsidR="002768E5" w:rsidRPr="0044579C">
        <w:rPr>
          <w:rFonts w:eastAsia="Calibri"/>
          <w:sz w:val="24"/>
          <w:szCs w:val="24"/>
          <w:lang w:val="hr-HR"/>
        </w:rPr>
        <w:t xml:space="preserve">vrijednosti </w:t>
      </w:r>
      <w:r w:rsidR="009B0E7A" w:rsidRPr="0044579C">
        <w:rPr>
          <w:rFonts w:eastAsia="Calibri"/>
          <w:sz w:val="24"/>
          <w:szCs w:val="24"/>
          <w:lang w:val="hr-HR"/>
        </w:rPr>
        <w:t>se odnosi na</w:t>
      </w:r>
      <w:r w:rsidR="000337E6" w:rsidRPr="0044579C">
        <w:rPr>
          <w:rFonts w:eastAsia="Calibri"/>
          <w:sz w:val="24"/>
          <w:szCs w:val="24"/>
          <w:lang w:val="hr-HR"/>
        </w:rPr>
        <w:t xml:space="preserve"> građevinsk</w:t>
      </w:r>
      <w:r w:rsidR="009B0E7A" w:rsidRPr="0044579C">
        <w:rPr>
          <w:rFonts w:eastAsia="Calibri"/>
          <w:sz w:val="24"/>
          <w:szCs w:val="24"/>
          <w:lang w:val="hr-HR"/>
        </w:rPr>
        <w:t>e</w:t>
      </w:r>
      <w:r w:rsidR="000337E6" w:rsidRPr="0044579C">
        <w:rPr>
          <w:rFonts w:eastAsia="Calibri"/>
          <w:sz w:val="24"/>
          <w:szCs w:val="24"/>
          <w:lang w:val="hr-HR"/>
        </w:rPr>
        <w:t xml:space="preserve"> objekt</w:t>
      </w:r>
      <w:r w:rsidR="002768E5" w:rsidRPr="0044579C">
        <w:rPr>
          <w:rFonts w:eastAsia="Calibri"/>
          <w:sz w:val="24"/>
          <w:szCs w:val="24"/>
          <w:lang w:val="hr-HR"/>
        </w:rPr>
        <w:t>e</w:t>
      </w:r>
      <w:r w:rsidR="0082748D" w:rsidRPr="0044579C">
        <w:rPr>
          <w:rFonts w:eastAsia="Calibri"/>
          <w:sz w:val="24"/>
          <w:szCs w:val="24"/>
          <w:lang w:val="hr-HR"/>
        </w:rPr>
        <w:t xml:space="preserve"> kao što </w:t>
      </w:r>
      <w:r w:rsidR="000337E6" w:rsidRPr="0044579C">
        <w:rPr>
          <w:rFonts w:eastAsia="Calibri"/>
          <w:sz w:val="24"/>
          <w:szCs w:val="24"/>
          <w:lang w:val="hr-HR"/>
        </w:rPr>
        <w:t>stanovi, poslovni objekti, zgrade kulturnih i obrazovnih institucija, sportski objekti, spomenici, ulaganja u tuđu imovinu dobivenu na korištenje, ceste, javna rasvjeta</w:t>
      </w:r>
      <w:r w:rsidR="006C1A41">
        <w:rPr>
          <w:rFonts w:eastAsia="Calibri"/>
          <w:sz w:val="24"/>
          <w:szCs w:val="24"/>
          <w:lang w:val="hr-HR"/>
        </w:rPr>
        <w:t xml:space="preserve"> te </w:t>
      </w:r>
      <w:r w:rsidR="000337E6" w:rsidRPr="0044579C">
        <w:rPr>
          <w:rFonts w:eastAsia="Calibri"/>
          <w:sz w:val="24"/>
          <w:szCs w:val="24"/>
          <w:lang w:val="hr-HR"/>
        </w:rPr>
        <w:t xml:space="preserve">ulaganja u </w:t>
      </w:r>
      <w:r w:rsidR="0081567E">
        <w:rPr>
          <w:rFonts w:eastAsia="Calibri"/>
          <w:sz w:val="24"/>
          <w:szCs w:val="24"/>
          <w:lang w:val="hr-HR"/>
        </w:rPr>
        <w:t>C</w:t>
      </w:r>
      <w:r w:rsidR="000337E6" w:rsidRPr="0044579C">
        <w:rPr>
          <w:rFonts w:eastAsia="Calibri"/>
          <w:sz w:val="24"/>
          <w:szCs w:val="24"/>
          <w:lang w:val="hr-HR"/>
        </w:rPr>
        <w:t xml:space="preserve">entar za gospodarenje otpadom </w:t>
      </w:r>
      <w:proofErr w:type="spellStart"/>
      <w:r w:rsidR="000337E6" w:rsidRPr="0044579C">
        <w:rPr>
          <w:rFonts w:eastAsia="Calibri"/>
          <w:sz w:val="24"/>
          <w:szCs w:val="24"/>
          <w:lang w:val="hr-HR"/>
        </w:rPr>
        <w:t>Bikarac</w:t>
      </w:r>
      <w:proofErr w:type="spellEnd"/>
      <w:r w:rsidR="000337E6" w:rsidRPr="0044579C">
        <w:rPr>
          <w:rFonts w:eastAsia="Calibri"/>
          <w:sz w:val="24"/>
          <w:szCs w:val="24"/>
          <w:lang w:val="hr-HR"/>
        </w:rPr>
        <w:t>.</w:t>
      </w:r>
      <w:r w:rsidR="00DE5491">
        <w:rPr>
          <w:rFonts w:eastAsia="Calibri"/>
          <w:sz w:val="24"/>
          <w:szCs w:val="24"/>
          <w:lang w:val="hr-HR"/>
        </w:rPr>
        <w:t xml:space="preserve"> </w:t>
      </w:r>
      <w:r w:rsidR="000337E6" w:rsidRPr="0044579C">
        <w:rPr>
          <w:rFonts w:eastAsia="Calibri"/>
          <w:sz w:val="24"/>
          <w:szCs w:val="24"/>
          <w:lang w:val="hr-HR"/>
        </w:rPr>
        <w:t xml:space="preserve">U odnosu na početak 2018. </w:t>
      </w:r>
      <w:r w:rsidR="0082748D" w:rsidRPr="0044579C">
        <w:rPr>
          <w:rFonts w:eastAsia="Calibri"/>
          <w:sz w:val="24"/>
          <w:szCs w:val="24"/>
          <w:lang w:val="hr-HR"/>
        </w:rPr>
        <w:t xml:space="preserve">godine </w:t>
      </w:r>
      <w:r w:rsidR="000337E6" w:rsidRPr="0044579C">
        <w:rPr>
          <w:rFonts w:eastAsia="Calibri"/>
          <w:sz w:val="24"/>
          <w:szCs w:val="24"/>
          <w:lang w:val="hr-HR"/>
        </w:rPr>
        <w:t xml:space="preserve">značajnije je povećana vrijednost prijevoznih sredstava za 957.512,00 kn najvećim dijelom zbog nabave </w:t>
      </w:r>
      <w:proofErr w:type="spellStart"/>
      <w:r w:rsidR="000337E6" w:rsidRPr="0044579C">
        <w:rPr>
          <w:rFonts w:eastAsia="Calibri"/>
          <w:sz w:val="24"/>
          <w:szCs w:val="24"/>
          <w:lang w:val="hr-HR"/>
        </w:rPr>
        <w:t>midi</w:t>
      </w:r>
      <w:proofErr w:type="spellEnd"/>
      <w:r w:rsidR="000337E6" w:rsidRPr="0044579C">
        <w:rPr>
          <w:rFonts w:eastAsia="Calibri"/>
          <w:sz w:val="24"/>
          <w:szCs w:val="24"/>
          <w:lang w:val="hr-HR"/>
        </w:rPr>
        <w:t xml:space="preserve"> autobusa nabavne vrijednosti 819.997,00 kn u sklopu provedbe projekta Revitalizacija tvrđave </w:t>
      </w:r>
      <w:r w:rsidR="001B1A6A">
        <w:rPr>
          <w:rFonts w:eastAsia="Calibri"/>
          <w:sz w:val="24"/>
          <w:szCs w:val="24"/>
          <w:lang w:val="hr-HR"/>
        </w:rPr>
        <w:t>s</w:t>
      </w:r>
      <w:r w:rsidR="000337E6" w:rsidRPr="0044579C">
        <w:rPr>
          <w:rFonts w:eastAsia="Calibri"/>
          <w:sz w:val="24"/>
          <w:szCs w:val="24"/>
          <w:lang w:val="hr-HR"/>
        </w:rPr>
        <w:t>v. Ivan te službenih osobnih automobila nabavne vrijednosti 336.33</w:t>
      </w:r>
      <w:r w:rsidR="000E34F4" w:rsidRPr="0044579C">
        <w:rPr>
          <w:rFonts w:eastAsia="Calibri"/>
          <w:sz w:val="24"/>
          <w:szCs w:val="24"/>
          <w:lang w:val="hr-HR"/>
        </w:rPr>
        <w:t>7</w:t>
      </w:r>
      <w:r w:rsidR="000337E6" w:rsidRPr="0044579C">
        <w:rPr>
          <w:rFonts w:eastAsia="Calibri"/>
          <w:sz w:val="24"/>
          <w:szCs w:val="24"/>
          <w:lang w:val="hr-HR"/>
        </w:rPr>
        <w:t xml:space="preserve"> kn. </w:t>
      </w:r>
    </w:p>
    <w:p w:rsidR="00561F52" w:rsidRPr="0044579C" w:rsidRDefault="00561F52" w:rsidP="00561F52">
      <w:pPr>
        <w:spacing w:after="0" w:line="240" w:lineRule="auto"/>
        <w:ind w:firstLine="708"/>
        <w:jc w:val="both"/>
        <w:rPr>
          <w:rFonts w:ascii="Times New Roman" w:eastAsia="Calibri" w:hAnsi="Times New Roman" w:cs="Times New Roman"/>
          <w:sz w:val="24"/>
          <w:szCs w:val="24"/>
        </w:rPr>
      </w:pPr>
      <w:proofErr w:type="spellStart"/>
      <w:r w:rsidRPr="0044579C">
        <w:rPr>
          <w:rFonts w:ascii="Times New Roman" w:eastAsia="Calibri" w:hAnsi="Times New Roman" w:cs="Times New Roman"/>
          <w:sz w:val="24"/>
          <w:szCs w:val="24"/>
        </w:rPr>
        <w:t>Neproizvedena</w:t>
      </w:r>
      <w:proofErr w:type="spellEnd"/>
      <w:r w:rsidRPr="0044579C">
        <w:rPr>
          <w:rFonts w:ascii="Times New Roman" w:eastAsia="Calibri" w:hAnsi="Times New Roman" w:cs="Times New Roman"/>
          <w:sz w:val="24"/>
          <w:szCs w:val="24"/>
        </w:rPr>
        <w:t xml:space="preserve"> dugotrajna imovina je veća za 4.261.877 kn najviše zbog povećanja materijalne imovine - prirodnih bogatstava, odnosno zbog darovane imovine od </w:t>
      </w:r>
      <w:r w:rsidR="008056BC" w:rsidRPr="0044579C">
        <w:rPr>
          <w:rFonts w:ascii="Times New Roman" w:eastAsia="Calibri" w:hAnsi="Times New Roman" w:cs="Times New Roman"/>
          <w:sz w:val="24"/>
          <w:szCs w:val="24"/>
        </w:rPr>
        <w:t xml:space="preserve">strane </w:t>
      </w:r>
      <w:r w:rsidRPr="0044579C">
        <w:rPr>
          <w:rFonts w:ascii="Times New Roman" w:eastAsia="Calibri" w:hAnsi="Times New Roman" w:cs="Times New Roman"/>
          <w:sz w:val="24"/>
          <w:szCs w:val="24"/>
        </w:rPr>
        <w:t>R</w:t>
      </w:r>
      <w:r w:rsidR="001B1A6A">
        <w:rPr>
          <w:rFonts w:ascii="Times New Roman" w:eastAsia="Calibri" w:hAnsi="Times New Roman" w:cs="Times New Roman"/>
          <w:sz w:val="24"/>
          <w:szCs w:val="24"/>
        </w:rPr>
        <w:t>epublike Hrvatske</w:t>
      </w:r>
      <w:r w:rsidRPr="0044579C">
        <w:rPr>
          <w:rFonts w:ascii="Times New Roman" w:eastAsia="Calibri" w:hAnsi="Times New Roman" w:cs="Times New Roman"/>
          <w:sz w:val="24"/>
          <w:szCs w:val="24"/>
        </w:rPr>
        <w:t>.</w:t>
      </w:r>
    </w:p>
    <w:p w:rsidR="00561F52" w:rsidRPr="0044579C" w:rsidRDefault="00561F52" w:rsidP="00C35AB3">
      <w:pPr>
        <w:spacing w:after="0" w:line="240" w:lineRule="auto"/>
        <w:ind w:firstLine="708"/>
        <w:jc w:val="both"/>
        <w:rPr>
          <w:rFonts w:ascii="Times New Roman" w:eastAsia="Times New Roman" w:hAnsi="Times New Roman" w:cs="Times New Roman"/>
          <w:iCs/>
          <w:sz w:val="24"/>
          <w:szCs w:val="24"/>
        </w:rPr>
      </w:pPr>
      <w:r w:rsidRPr="0044579C">
        <w:rPr>
          <w:rFonts w:ascii="Times New Roman" w:eastAsia="Times New Roman" w:hAnsi="Times New Roman" w:cs="Times New Roman"/>
          <w:iCs/>
          <w:sz w:val="24"/>
          <w:szCs w:val="24"/>
        </w:rPr>
        <w:t xml:space="preserve">Proizvedena dugotrajna imovina je manja za 41.835.422 kn zbog ispravka vrijednosti građevinskih objekata i nematerijalne proizvedene imovine. </w:t>
      </w:r>
    </w:p>
    <w:p w:rsidR="0082748D" w:rsidRPr="0044579C" w:rsidRDefault="000337E6" w:rsidP="0082748D">
      <w:pPr>
        <w:pStyle w:val="Tijeloteksta3"/>
        <w:ind w:firstLine="720"/>
        <w:jc w:val="both"/>
        <w:rPr>
          <w:rFonts w:eastAsia="Calibri"/>
          <w:sz w:val="24"/>
          <w:szCs w:val="24"/>
          <w:lang w:val="hr-HR"/>
        </w:rPr>
      </w:pPr>
      <w:r w:rsidRPr="0044579C">
        <w:rPr>
          <w:rFonts w:eastAsia="Calibri"/>
          <w:sz w:val="24"/>
          <w:szCs w:val="24"/>
          <w:lang w:val="hr-HR"/>
        </w:rPr>
        <w:t xml:space="preserve">Nefinancijska imovina u pripremi </w:t>
      </w:r>
      <w:r w:rsidR="0082748D" w:rsidRPr="0044579C">
        <w:rPr>
          <w:rFonts w:eastAsia="Calibri"/>
          <w:sz w:val="24"/>
          <w:szCs w:val="24"/>
          <w:lang w:val="hr-HR"/>
        </w:rPr>
        <w:t>krajem</w:t>
      </w:r>
      <w:r w:rsidRPr="0044579C">
        <w:rPr>
          <w:rFonts w:eastAsia="Calibri"/>
          <w:sz w:val="24"/>
          <w:szCs w:val="24"/>
          <w:lang w:val="hr-HR"/>
        </w:rPr>
        <w:t xml:space="preserve"> 2018.</w:t>
      </w:r>
      <w:r w:rsidR="0082748D" w:rsidRPr="0044579C">
        <w:rPr>
          <w:rFonts w:eastAsia="Calibri"/>
          <w:sz w:val="24"/>
          <w:szCs w:val="24"/>
          <w:lang w:val="hr-HR"/>
        </w:rPr>
        <w:t xml:space="preserve"> godine</w:t>
      </w:r>
      <w:r w:rsidRPr="0044579C">
        <w:rPr>
          <w:rFonts w:eastAsia="Calibri"/>
          <w:sz w:val="24"/>
          <w:szCs w:val="24"/>
          <w:lang w:val="hr-HR"/>
        </w:rPr>
        <w:t xml:space="preserve"> u vrijednosno značajnijem dijelu odnosi se na ulaganja u projekt Centar za nove tehnologije i poduzetništvo Trokut u vrijednosti </w:t>
      </w:r>
      <w:r w:rsidR="00F9061F">
        <w:rPr>
          <w:rFonts w:eastAsia="Calibri"/>
          <w:sz w:val="24"/>
          <w:szCs w:val="24"/>
          <w:lang w:val="hr-HR"/>
        </w:rPr>
        <w:t xml:space="preserve"> od </w:t>
      </w:r>
      <w:r w:rsidRPr="0044579C">
        <w:rPr>
          <w:rFonts w:eastAsia="Calibri"/>
          <w:sz w:val="24"/>
          <w:szCs w:val="24"/>
          <w:lang w:val="hr-HR"/>
        </w:rPr>
        <w:t xml:space="preserve">3.647.066 kn. </w:t>
      </w:r>
    </w:p>
    <w:p w:rsidR="0082748D" w:rsidRPr="0044579C" w:rsidRDefault="0082748D" w:rsidP="0082748D">
      <w:pPr>
        <w:pStyle w:val="Tijeloteksta3"/>
        <w:ind w:firstLine="720"/>
        <w:jc w:val="both"/>
        <w:rPr>
          <w:rFonts w:eastAsia="Calibri"/>
          <w:sz w:val="24"/>
          <w:szCs w:val="24"/>
          <w:lang w:val="hr-HR"/>
        </w:rPr>
      </w:pPr>
    </w:p>
    <w:p w:rsidR="0082748D" w:rsidRPr="005E72AC" w:rsidRDefault="0082748D" w:rsidP="0082748D">
      <w:pPr>
        <w:pStyle w:val="Tijeloteksta3"/>
        <w:numPr>
          <w:ilvl w:val="0"/>
          <w:numId w:val="11"/>
        </w:numPr>
        <w:jc w:val="both"/>
        <w:rPr>
          <w:rFonts w:eastAsia="Calibri"/>
          <w:sz w:val="24"/>
          <w:szCs w:val="24"/>
          <w:lang w:val="hr-HR"/>
        </w:rPr>
      </w:pPr>
      <w:r w:rsidRPr="005E72AC">
        <w:rPr>
          <w:rFonts w:eastAsia="Calibri"/>
          <w:sz w:val="24"/>
          <w:szCs w:val="24"/>
          <w:lang w:val="hr-HR"/>
        </w:rPr>
        <w:t>Financijska imovina</w:t>
      </w:r>
    </w:p>
    <w:p w:rsidR="0082748D" w:rsidRPr="0044579C" w:rsidRDefault="0082748D" w:rsidP="0082748D">
      <w:pPr>
        <w:pStyle w:val="Tijeloteksta3"/>
        <w:jc w:val="both"/>
        <w:rPr>
          <w:rFonts w:eastAsia="Calibri"/>
          <w:sz w:val="24"/>
          <w:szCs w:val="24"/>
          <w:lang w:val="hr-HR"/>
        </w:rPr>
      </w:pPr>
    </w:p>
    <w:p w:rsidR="0082748D" w:rsidRPr="0044579C" w:rsidRDefault="000337E6" w:rsidP="0082748D">
      <w:pPr>
        <w:pStyle w:val="Tijeloteksta3"/>
        <w:ind w:firstLine="720"/>
        <w:jc w:val="both"/>
        <w:rPr>
          <w:rFonts w:eastAsia="Calibri"/>
          <w:sz w:val="24"/>
          <w:szCs w:val="24"/>
          <w:lang w:val="hr-HR"/>
        </w:rPr>
      </w:pPr>
      <w:r w:rsidRPr="0044579C">
        <w:rPr>
          <w:rFonts w:eastAsia="Calibri"/>
          <w:sz w:val="24"/>
          <w:szCs w:val="24"/>
          <w:lang w:val="hr-HR"/>
        </w:rPr>
        <w:t xml:space="preserve">Potraživanja su </w:t>
      </w:r>
      <w:r w:rsidR="0082748D" w:rsidRPr="0044579C">
        <w:rPr>
          <w:rFonts w:eastAsia="Calibri"/>
          <w:sz w:val="24"/>
          <w:szCs w:val="24"/>
          <w:lang w:val="hr-HR"/>
        </w:rPr>
        <w:t>krajem</w:t>
      </w:r>
      <w:r w:rsidRPr="0044579C">
        <w:rPr>
          <w:rFonts w:eastAsia="Calibri"/>
          <w:sz w:val="24"/>
          <w:szCs w:val="24"/>
          <w:lang w:val="hr-HR"/>
        </w:rPr>
        <w:t xml:space="preserve"> 2018.</w:t>
      </w:r>
      <w:r w:rsidR="00417998" w:rsidRPr="0044579C">
        <w:rPr>
          <w:rFonts w:eastAsia="Calibri"/>
          <w:sz w:val="24"/>
          <w:szCs w:val="24"/>
          <w:lang w:val="hr-HR"/>
        </w:rPr>
        <w:t xml:space="preserve"> godine</w:t>
      </w:r>
      <w:r w:rsidRPr="0044579C">
        <w:rPr>
          <w:rFonts w:eastAsia="Calibri"/>
          <w:sz w:val="24"/>
          <w:szCs w:val="24"/>
          <w:lang w:val="hr-HR"/>
        </w:rPr>
        <w:t xml:space="preserve"> iskazana u iznosu </w:t>
      </w:r>
      <w:r w:rsidR="0082748D" w:rsidRPr="0044579C">
        <w:rPr>
          <w:rFonts w:eastAsia="Calibri"/>
          <w:sz w:val="24"/>
          <w:szCs w:val="24"/>
          <w:lang w:val="hr-HR"/>
        </w:rPr>
        <w:t xml:space="preserve">od </w:t>
      </w:r>
      <w:r w:rsidRPr="0044579C">
        <w:rPr>
          <w:rFonts w:eastAsia="Calibri"/>
          <w:sz w:val="24"/>
          <w:szCs w:val="24"/>
          <w:lang w:val="hr-HR"/>
        </w:rPr>
        <w:t>93.273.531 kn</w:t>
      </w:r>
      <w:r w:rsidR="0082748D" w:rsidRPr="0044579C">
        <w:rPr>
          <w:rFonts w:eastAsia="Calibri"/>
          <w:sz w:val="24"/>
          <w:szCs w:val="24"/>
          <w:lang w:val="hr-HR"/>
        </w:rPr>
        <w:t>, a o</w:t>
      </w:r>
      <w:r w:rsidRPr="0044579C">
        <w:rPr>
          <w:rFonts w:eastAsia="Calibri"/>
          <w:sz w:val="24"/>
          <w:szCs w:val="24"/>
          <w:lang w:val="hr-HR"/>
        </w:rPr>
        <w:t>dnose se na</w:t>
      </w:r>
      <w:r w:rsidR="0082748D" w:rsidRPr="0044579C">
        <w:rPr>
          <w:rFonts w:eastAsia="Calibri"/>
          <w:sz w:val="24"/>
          <w:szCs w:val="24"/>
          <w:lang w:val="hr-HR"/>
        </w:rPr>
        <w:t>:</w:t>
      </w:r>
    </w:p>
    <w:p w:rsidR="00097D3B" w:rsidRPr="0044579C" w:rsidRDefault="00097D3B" w:rsidP="00312623">
      <w:pPr>
        <w:pStyle w:val="Tijeloteksta3"/>
        <w:numPr>
          <w:ilvl w:val="0"/>
          <w:numId w:val="12"/>
        </w:numPr>
        <w:jc w:val="both"/>
        <w:rPr>
          <w:rFonts w:eastAsia="Calibri"/>
          <w:sz w:val="24"/>
          <w:szCs w:val="24"/>
          <w:lang w:val="hr-HR"/>
        </w:rPr>
      </w:pPr>
      <w:r w:rsidRPr="0044579C">
        <w:rPr>
          <w:rFonts w:eastAsia="Calibri"/>
          <w:sz w:val="24"/>
          <w:szCs w:val="24"/>
          <w:lang w:val="hr-HR"/>
        </w:rPr>
        <w:t>potraživanja za dane zajmove u iznosu od 8.801.452 kn;</w:t>
      </w:r>
    </w:p>
    <w:p w:rsidR="0082748D" w:rsidRPr="0044579C" w:rsidRDefault="000337E6" w:rsidP="00977C7D">
      <w:pPr>
        <w:pStyle w:val="Tijeloteksta3"/>
        <w:numPr>
          <w:ilvl w:val="0"/>
          <w:numId w:val="12"/>
        </w:numPr>
        <w:jc w:val="both"/>
        <w:rPr>
          <w:rFonts w:eastAsia="Calibri"/>
          <w:sz w:val="24"/>
          <w:szCs w:val="24"/>
          <w:lang w:val="hr-HR"/>
        </w:rPr>
      </w:pPr>
      <w:r w:rsidRPr="0044579C">
        <w:rPr>
          <w:rFonts w:eastAsia="Calibri"/>
          <w:sz w:val="24"/>
          <w:szCs w:val="24"/>
          <w:lang w:val="hr-HR"/>
        </w:rPr>
        <w:t xml:space="preserve">potraživanja za prihode poslovanja u iznosu </w:t>
      </w:r>
      <w:r w:rsidR="0082748D" w:rsidRPr="0044579C">
        <w:rPr>
          <w:rFonts w:eastAsia="Calibri"/>
          <w:sz w:val="24"/>
          <w:szCs w:val="24"/>
          <w:lang w:val="hr-HR"/>
        </w:rPr>
        <w:t xml:space="preserve">od </w:t>
      </w:r>
      <w:r w:rsidRPr="0044579C">
        <w:rPr>
          <w:rFonts w:eastAsia="Calibri"/>
          <w:sz w:val="24"/>
          <w:szCs w:val="24"/>
          <w:lang w:val="hr-HR"/>
        </w:rPr>
        <w:t>83.374.745</w:t>
      </w:r>
      <w:r w:rsidR="00A614ED" w:rsidRPr="0044579C">
        <w:rPr>
          <w:rFonts w:eastAsia="Calibri"/>
          <w:sz w:val="24"/>
          <w:szCs w:val="24"/>
          <w:lang w:val="hr-HR"/>
        </w:rPr>
        <w:t xml:space="preserve"> </w:t>
      </w:r>
      <w:r w:rsidRPr="0044579C">
        <w:rPr>
          <w:rFonts w:eastAsia="Calibri"/>
          <w:sz w:val="24"/>
          <w:szCs w:val="24"/>
          <w:lang w:val="hr-HR"/>
        </w:rPr>
        <w:t>kn</w:t>
      </w:r>
      <w:r w:rsidR="0082748D" w:rsidRPr="0044579C">
        <w:rPr>
          <w:rFonts w:eastAsia="Calibri"/>
          <w:sz w:val="24"/>
          <w:szCs w:val="24"/>
          <w:lang w:val="hr-HR"/>
        </w:rPr>
        <w:t>;</w:t>
      </w:r>
      <w:r w:rsidRPr="0044579C">
        <w:rPr>
          <w:rFonts w:eastAsia="Calibri"/>
          <w:sz w:val="24"/>
          <w:szCs w:val="24"/>
          <w:lang w:val="hr-HR"/>
        </w:rPr>
        <w:t xml:space="preserve"> </w:t>
      </w:r>
    </w:p>
    <w:p w:rsidR="0082748D" w:rsidRPr="0044579C" w:rsidRDefault="000337E6" w:rsidP="00977C7D">
      <w:pPr>
        <w:pStyle w:val="Tijeloteksta3"/>
        <w:numPr>
          <w:ilvl w:val="0"/>
          <w:numId w:val="12"/>
        </w:numPr>
        <w:jc w:val="both"/>
        <w:rPr>
          <w:rFonts w:eastAsia="Calibri"/>
          <w:sz w:val="24"/>
          <w:szCs w:val="24"/>
          <w:lang w:val="hr-HR"/>
        </w:rPr>
      </w:pPr>
      <w:r w:rsidRPr="0044579C">
        <w:rPr>
          <w:rFonts w:eastAsia="Calibri"/>
          <w:sz w:val="24"/>
          <w:szCs w:val="24"/>
          <w:lang w:val="hr-HR"/>
        </w:rPr>
        <w:t xml:space="preserve">potraživanja od prodaje nefinancijske imovine u iznosu </w:t>
      </w:r>
      <w:r w:rsidR="0082748D" w:rsidRPr="0044579C">
        <w:rPr>
          <w:rFonts w:eastAsia="Calibri"/>
          <w:sz w:val="24"/>
          <w:szCs w:val="24"/>
          <w:lang w:val="hr-HR"/>
        </w:rPr>
        <w:t xml:space="preserve">od </w:t>
      </w:r>
      <w:r w:rsidRPr="0044579C">
        <w:rPr>
          <w:rFonts w:eastAsia="Calibri"/>
          <w:sz w:val="24"/>
          <w:szCs w:val="24"/>
          <w:lang w:val="hr-HR"/>
        </w:rPr>
        <w:t>772.860</w:t>
      </w:r>
      <w:r w:rsidR="00A614ED" w:rsidRPr="0044579C">
        <w:rPr>
          <w:rFonts w:eastAsia="Calibri"/>
          <w:sz w:val="24"/>
          <w:szCs w:val="24"/>
          <w:lang w:val="hr-HR"/>
        </w:rPr>
        <w:t xml:space="preserve"> </w:t>
      </w:r>
      <w:r w:rsidRPr="0044579C">
        <w:rPr>
          <w:rFonts w:eastAsia="Calibri"/>
          <w:sz w:val="24"/>
          <w:szCs w:val="24"/>
          <w:lang w:val="hr-HR"/>
        </w:rPr>
        <w:t>kn</w:t>
      </w:r>
      <w:r w:rsidR="00097D3B" w:rsidRPr="0044579C">
        <w:rPr>
          <w:rFonts w:eastAsia="Calibri"/>
          <w:sz w:val="24"/>
          <w:szCs w:val="24"/>
          <w:lang w:val="hr-HR"/>
        </w:rPr>
        <w:t>.</w:t>
      </w:r>
    </w:p>
    <w:p w:rsidR="001A5A76" w:rsidRPr="0044579C" w:rsidRDefault="001A5A76" w:rsidP="001A5A76">
      <w:pPr>
        <w:pStyle w:val="Tijeloteksta3"/>
        <w:ind w:firstLine="720"/>
        <w:jc w:val="both"/>
        <w:rPr>
          <w:rFonts w:eastAsia="Calibri"/>
          <w:sz w:val="24"/>
          <w:szCs w:val="24"/>
          <w:lang w:val="hr-HR"/>
        </w:rPr>
      </w:pPr>
    </w:p>
    <w:p w:rsidR="001A5A76" w:rsidRDefault="001A5A76" w:rsidP="00DE5491">
      <w:pPr>
        <w:pStyle w:val="Tijeloteksta3"/>
        <w:ind w:firstLine="720"/>
        <w:jc w:val="both"/>
        <w:rPr>
          <w:rFonts w:eastAsia="Calibri"/>
          <w:sz w:val="24"/>
          <w:szCs w:val="24"/>
          <w:lang w:val="hr-HR"/>
        </w:rPr>
      </w:pPr>
      <w:r w:rsidRPr="0044579C">
        <w:rPr>
          <w:rFonts w:eastAsia="Calibri"/>
          <w:sz w:val="24"/>
          <w:szCs w:val="24"/>
          <w:lang w:val="hr-HR"/>
        </w:rPr>
        <w:t>Potraživanja za dane zajmove odnose se na potraživanja iz prethodnih godina po protestiranom jamstvu za kredit pravne osobe u većinskom vlasništvu Grada u iznosu</w:t>
      </w:r>
      <w:r w:rsidR="00006033" w:rsidRPr="0044579C">
        <w:rPr>
          <w:rFonts w:eastAsia="Calibri"/>
          <w:sz w:val="24"/>
          <w:szCs w:val="24"/>
          <w:lang w:val="hr-HR"/>
        </w:rPr>
        <w:t xml:space="preserve"> od</w:t>
      </w:r>
      <w:r w:rsidRPr="0044579C">
        <w:rPr>
          <w:rFonts w:eastAsia="Calibri"/>
          <w:sz w:val="24"/>
          <w:szCs w:val="24"/>
          <w:lang w:val="hr-HR"/>
        </w:rPr>
        <w:t xml:space="preserve"> 4.771.051</w:t>
      </w:r>
      <w:r w:rsidR="009E13B1" w:rsidRPr="0044579C">
        <w:rPr>
          <w:rFonts w:eastAsia="Calibri"/>
          <w:sz w:val="24"/>
          <w:szCs w:val="24"/>
          <w:lang w:val="hr-HR"/>
        </w:rPr>
        <w:t xml:space="preserve"> </w:t>
      </w:r>
      <w:r w:rsidRPr="0044579C">
        <w:rPr>
          <w:rFonts w:eastAsia="Calibri"/>
          <w:sz w:val="24"/>
          <w:szCs w:val="24"/>
          <w:lang w:val="hr-HR"/>
        </w:rPr>
        <w:t xml:space="preserve">kn, poticajnu stanogradnju u iznosu od 1.915.128 kn, </w:t>
      </w:r>
      <w:r w:rsidR="00A70B37">
        <w:rPr>
          <w:rFonts w:eastAsia="Calibri"/>
          <w:sz w:val="24"/>
          <w:szCs w:val="24"/>
          <w:lang w:val="hr-HR"/>
        </w:rPr>
        <w:t xml:space="preserve">potraživanja </w:t>
      </w:r>
      <w:r w:rsidRPr="0044579C">
        <w:rPr>
          <w:rFonts w:eastAsia="Calibri"/>
          <w:sz w:val="24"/>
          <w:szCs w:val="24"/>
          <w:lang w:val="hr-HR"/>
        </w:rPr>
        <w:t xml:space="preserve">od trgovačkih društava za otplatu dva kredita iz ranijih godina za realizaciju projekta </w:t>
      </w:r>
      <w:proofErr w:type="spellStart"/>
      <w:r w:rsidRPr="0044579C">
        <w:rPr>
          <w:rFonts w:eastAsia="Calibri"/>
          <w:sz w:val="24"/>
          <w:szCs w:val="24"/>
          <w:lang w:val="hr-HR"/>
        </w:rPr>
        <w:t>Obonjan</w:t>
      </w:r>
      <w:proofErr w:type="spellEnd"/>
      <w:r w:rsidRPr="0044579C">
        <w:rPr>
          <w:rFonts w:eastAsia="Calibri"/>
          <w:sz w:val="24"/>
          <w:szCs w:val="24"/>
          <w:lang w:val="hr-HR"/>
        </w:rPr>
        <w:t xml:space="preserve"> u iznosu </w:t>
      </w:r>
      <w:r w:rsidR="00006033" w:rsidRPr="0044579C">
        <w:rPr>
          <w:rFonts w:eastAsia="Calibri"/>
          <w:sz w:val="24"/>
          <w:szCs w:val="24"/>
          <w:lang w:val="hr-HR"/>
        </w:rPr>
        <w:t xml:space="preserve">od </w:t>
      </w:r>
      <w:r w:rsidRPr="0044579C">
        <w:rPr>
          <w:rFonts w:eastAsia="Calibri"/>
          <w:sz w:val="24"/>
          <w:szCs w:val="24"/>
          <w:lang w:val="hr-HR"/>
        </w:rPr>
        <w:t>1.094.83</w:t>
      </w:r>
      <w:r w:rsidR="009E13B1" w:rsidRPr="0044579C">
        <w:rPr>
          <w:rFonts w:eastAsia="Calibri"/>
          <w:sz w:val="24"/>
          <w:szCs w:val="24"/>
          <w:lang w:val="hr-HR"/>
        </w:rPr>
        <w:t>3</w:t>
      </w:r>
      <w:r w:rsidRPr="0044579C">
        <w:rPr>
          <w:rFonts w:eastAsia="Calibri"/>
          <w:sz w:val="24"/>
          <w:szCs w:val="24"/>
          <w:lang w:val="hr-HR"/>
        </w:rPr>
        <w:t xml:space="preserve"> kn te za zajmove dane u 2018. godini trgovačkom društvu u vlasništvu Grada za izradu razvojnog projekta u iznosu od 1.020.440 kn. </w:t>
      </w:r>
    </w:p>
    <w:p w:rsidR="005E72AC" w:rsidRPr="0044579C" w:rsidRDefault="005E72AC" w:rsidP="00DE5491">
      <w:pPr>
        <w:pStyle w:val="Tijeloteksta3"/>
        <w:ind w:firstLine="720"/>
        <w:jc w:val="both"/>
        <w:rPr>
          <w:rFonts w:eastAsia="Calibri"/>
          <w:sz w:val="24"/>
          <w:szCs w:val="24"/>
          <w:lang w:val="hr-HR"/>
        </w:rPr>
      </w:pPr>
    </w:p>
    <w:p w:rsidR="005E72AC" w:rsidRPr="0044579C" w:rsidRDefault="00BC5C4B" w:rsidP="00DD0A9A">
      <w:pPr>
        <w:pStyle w:val="Tijeloteksta3"/>
        <w:ind w:firstLine="720"/>
        <w:jc w:val="both"/>
        <w:rPr>
          <w:rFonts w:eastAsia="Calibri"/>
          <w:sz w:val="24"/>
          <w:szCs w:val="24"/>
          <w:lang w:val="hr-HR"/>
        </w:rPr>
      </w:pPr>
      <w:r w:rsidRPr="0044579C">
        <w:rPr>
          <w:rFonts w:eastAsia="Calibri"/>
          <w:sz w:val="24"/>
          <w:szCs w:val="24"/>
          <w:lang w:val="hr-HR"/>
        </w:rPr>
        <w:t>Potraživanja za prihode poslovanja su</w:t>
      </w:r>
      <w:r w:rsidR="00856FC5" w:rsidRPr="0044579C">
        <w:rPr>
          <w:rFonts w:eastAsia="Calibri"/>
          <w:sz w:val="24"/>
          <w:szCs w:val="24"/>
          <w:lang w:val="hr-HR"/>
        </w:rPr>
        <w:t xml:space="preserve"> u odnosu na početak godine </w:t>
      </w:r>
      <w:r w:rsidR="000337E6" w:rsidRPr="0044579C">
        <w:rPr>
          <w:rFonts w:eastAsia="Calibri"/>
          <w:sz w:val="24"/>
          <w:szCs w:val="24"/>
          <w:lang w:val="hr-HR"/>
        </w:rPr>
        <w:t>manja</w:t>
      </w:r>
      <w:r w:rsidRPr="0044579C">
        <w:rPr>
          <w:rFonts w:eastAsia="Calibri"/>
          <w:sz w:val="24"/>
          <w:szCs w:val="24"/>
          <w:lang w:val="hr-HR"/>
        </w:rPr>
        <w:t xml:space="preserve"> </w:t>
      </w:r>
      <w:r w:rsidR="000337E6" w:rsidRPr="0044579C">
        <w:rPr>
          <w:rFonts w:eastAsia="Calibri"/>
          <w:sz w:val="24"/>
          <w:szCs w:val="24"/>
          <w:lang w:val="hr-HR"/>
        </w:rPr>
        <w:t xml:space="preserve">za </w:t>
      </w:r>
      <w:r w:rsidRPr="0044579C">
        <w:rPr>
          <w:rFonts w:eastAsia="Calibri"/>
          <w:sz w:val="24"/>
          <w:szCs w:val="24"/>
          <w:lang w:val="hr-HR"/>
        </w:rPr>
        <w:t>10.351.85</w:t>
      </w:r>
      <w:r w:rsidR="009E13B1" w:rsidRPr="0044579C">
        <w:rPr>
          <w:rFonts w:eastAsia="Calibri"/>
          <w:sz w:val="24"/>
          <w:szCs w:val="24"/>
          <w:lang w:val="hr-HR"/>
        </w:rPr>
        <w:t>2</w:t>
      </w:r>
      <w:r w:rsidRPr="0044579C">
        <w:rPr>
          <w:rFonts w:eastAsia="Calibri"/>
          <w:sz w:val="24"/>
          <w:szCs w:val="24"/>
          <w:lang w:val="hr-HR"/>
        </w:rPr>
        <w:t xml:space="preserve"> kn</w:t>
      </w:r>
      <w:r w:rsidR="000337E6" w:rsidRPr="0044579C">
        <w:rPr>
          <w:rFonts w:eastAsia="Calibri"/>
          <w:sz w:val="24"/>
          <w:szCs w:val="24"/>
          <w:lang w:val="hr-HR"/>
        </w:rPr>
        <w:t xml:space="preserve"> što je u vrijednosno značajnijem dijelu rezultat ispravka vrijednosti </w:t>
      </w:r>
      <w:r w:rsidR="000337E6" w:rsidRPr="0044579C">
        <w:rPr>
          <w:rFonts w:eastAsia="Calibri"/>
          <w:sz w:val="24"/>
          <w:szCs w:val="24"/>
          <w:lang w:val="hr-HR"/>
        </w:rPr>
        <w:lastRenderedPageBreak/>
        <w:t xml:space="preserve">potraživanja prema odredbama Pravilnika o proračunskom računovodstvu i Računskom planu (Narodne novine 24/14, 115/15 i 87/16). </w:t>
      </w:r>
    </w:p>
    <w:p w:rsidR="00856FC5" w:rsidRPr="0044579C" w:rsidRDefault="00856FC5" w:rsidP="0082748D">
      <w:pPr>
        <w:pStyle w:val="Tijeloteksta3"/>
        <w:ind w:firstLine="720"/>
        <w:jc w:val="both"/>
        <w:rPr>
          <w:rFonts w:eastAsia="Calibri"/>
          <w:sz w:val="24"/>
          <w:szCs w:val="24"/>
          <w:lang w:val="hr-HR"/>
        </w:rPr>
      </w:pPr>
      <w:r w:rsidRPr="0044579C">
        <w:rPr>
          <w:rFonts w:eastAsia="Calibri"/>
          <w:sz w:val="24"/>
          <w:szCs w:val="24"/>
          <w:lang w:val="hr-HR"/>
        </w:rPr>
        <w:t>Potraživanja od prodaje nefinancijske imovine su u odnosu na početak godine</w:t>
      </w:r>
      <w:r w:rsidR="00386EB0" w:rsidRPr="0044579C">
        <w:rPr>
          <w:rFonts w:eastAsia="Calibri"/>
          <w:sz w:val="24"/>
          <w:szCs w:val="24"/>
          <w:lang w:val="hr-HR"/>
        </w:rPr>
        <w:t xml:space="preserve"> veća </w:t>
      </w:r>
      <w:r w:rsidRPr="0044579C">
        <w:rPr>
          <w:rFonts w:eastAsia="Calibri"/>
          <w:sz w:val="24"/>
          <w:szCs w:val="24"/>
          <w:lang w:val="hr-HR"/>
        </w:rPr>
        <w:t xml:space="preserve">za </w:t>
      </w:r>
      <w:r w:rsidR="00386EB0" w:rsidRPr="0044579C">
        <w:rPr>
          <w:rFonts w:eastAsia="Calibri"/>
          <w:sz w:val="24"/>
          <w:szCs w:val="24"/>
          <w:lang w:val="hr-HR"/>
        </w:rPr>
        <w:t>23.564,94 kn,</w:t>
      </w:r>
      <w:r w:rsidR="00097D3B" w:rsidRPr="0044579C">
        <w:rPr>
          <w:rFonts w:eastAsia="Calibri"/>
          <w:sz w:val="24"/>
          <w:szCs w:val="24"/>
          <w:lang w:val="hr-HR"/>
        </w:rPr>
        <w:t xml:space="preserve"> a </w:t>
      </w:r>
      <w:r w:rsidR="00386EB0" w:rsidRPr="0044579C">
        <w:rPr>
          <w:rFonts w:eastAsia="Calibri"/>
          <w:sz w:val="24"/>
          <w:szCs w:val="24"/>
          <w:lang w:val="hr-HR"/>
        </w:rPr>
        <w:t xml:space="preserve">odnose se na </w:t>
      </w:r>
      <w:r w:rsidR="000A7DC2" w:rsidRPr="0044579C">
        <w:rPr>
          <w:rFonts w:eastAsia="Calibri"/>
          <w:sz w:val="24"/>
          <w:szCs w:val="24"/>
          <w:lang w:val="hr-HR"/>
        </w:rPr>
        <w:t>potr</w:t>
      </w:r>
      <w:r w:rsidR="005B5E19" w:rsidRPr="0044579C">
        <w:rPr>
          <w:rFonts w:eastAsia="Calibri"/>
          <w:sz w:val="24"/>
          <w:szCs w:val="24"/>
          <w:lang w:val="hr-HR"/>
        </w:rPr>
        <w:t>a</w:t>
      </w:r>
      <w:r w:rsidR="000A7DC2" w:rsidRPr="0044579C">
        <w:rPr>
          <w:rFonts w:eastAsia="Calibri"/>
          <w:sz w:val="24"/>
          <w:szCs w:val="24"/>
          <w:lang w:val="hr-HR"/>
        </w:rPr>
        <w:t xml:space="preserve">živanja za </w:t>
      </w:r>
      <w:r w:rsidR="00386EB0" w:rsidRPr="0044579C">
        <w:rPr>
          <w:rFonts w:eastAsia="Calibri"/>
          <w:sz w:val="24"/>
          <w:szCs w:val="24"/>
          <w:lang w:val="hr-HR"/>
        </w:rPr>
        <w:t>otkup stanova na kojima postoji stanarsko pravo.</w:t>
      </w:r>
    </w:p>
    <w:p w:rsidR="0082748D" w:rsidRPr="005E72AC" w:rsidRDefault="0082748D" w:rsidP="0082748D">
      <w:pPr>
        <w:pStyle w:val="Tijeloteksta3"/>
        <w:ind w:firstLine="720"/>
        <w:jc w:val="both"/>
        <w:rPr>
          <w:rFonts w:eastAsia="Calibri"/>
          <w:sz w:val="24"/>
          <w:szCs w:val="24"/>
          <w:lang w:val="hr-HR"/>
        </w:rPr>
      </w:pPr>
    </w:p>
    <w:p w:rsidR="0082748D" w:rsidRPr="005E72AC" w:rsidRDefault="0082748D" w:rsidP="0082748D">
      <w:pPr>
        <w:pStyle w:val="Tijeloteksta3"/>
        <w:numPr>
          <w:ilvl w:val="0"/>
          <w:numId w:val="11"/>
        </w:numPr>
        <w:jc w:val="both"/>
        <w:rPr>
          <w:rFonts w:eastAsia="Calibri"/>
          <w:sz w:val="24"/>
          <w:szCs w:val="24"/>
          <w:lang w:val="hr-HR"/>
        </w:rPr>
      </w:pPr>
      <w:r w:rsidRPr="005E72AC">
        <w:rPr>
          <w:rFonts w:eastAsia="Calibri"/>
          <w:sz w:val="24"/>
          <w:szCs w:val="24"/>
          <w:lang w:val="hr-HR"/>
        </w:rPr>
        <w:t xml:space="preserve">Obveze </w:t>
      </w:r>
    </w:p>
    <w:p w:rsidR="0082748D" w:rsidRPr="0044579C" w:rsidRDefault="0082748D" w:rsidP="0082748D">
      <w:pPr>
        <w:pStyle w:val="Tijeloteksta3"/>
        <w:jc w:val="both"/>
        <w:rPr>
          <w:rFonts w:eastAsia="Calibri"/>
          <w:sz w:val="24"/>
          <w:szCs w:val="24"/>
          <w:lang w:val="hr-HR"/>
        </w:rPr>
      </w:pPr>
    </w:p>
    <w:p w:rsidR="00501B25" w:rsidRDefault="000337E6" w:rsidP="00DE5491">
      <w:pPr>
        <w:pStyle w:val="Tijeloteksta3"/>
        <w:ind w:firstLine="720"/>
        <w:jc w:val="both"/>
        <w:rPr>
          <w:iCs/>
          <w:sz w:val="24"/>
          <w:szCs w:val="24"/>
          <w:lang w:val="hr-HR"/>
        </w:rPr>
      </w:pPr>
      <w:r w:rsidRPr="0044579C">
        <w:rPr>
          <w:rFonts w:eastAsia="Calibri"/>
          <w:sz w:val="24"/>
          <w:szCs w:val="24"/>
          <w:lang w:val="hr-HR"/>
        </w:rPr>
        <w:t xml:space="preserve">Obveze su </w:t>
      </w:r>
      <w:r w:rsidR="0082748D" w:rsidRPr="0044579C">
        <w:rPr>
          <w:rFonts w:eastAsia="Calibri"/>
          <w:sz w:val="24"/>
          <w:szCs w:val="24"/>
          <w:lang w:val="hr-HR"/>
        </w:rPr>
        <w:t>krajem</w:t>
      </w:r>
      <w:r w:rsidRPr="0044579C">
        <w:rPr>
          <w:rFonts w:eastAsia="Calibri"/>
          <w:sz w:val="24"/>
          <w:szCs w:val="24"/>
          <w:lang w:val="hr-HR"/>
        </w:rPr>
        <w:t xml:space="preserve"> 2018. </w:t>
      </w:r>
      <w:r w:rsidR="00C253B6" w:rsidRPr="0044579C">
        <w:rPr>
          <w:rFonts w:eastAsia="Calibri"/>
          <w:sz w:val="24"/>
          <w:szCs w:val="24"/>
          <w:lang w:val="hr-HR"/>
        </w:rPr>
        <w:t>godine za 10.693.193 kn manje u odnosu na početak godine te iznose</w:t>
      </w:r>
      <w:r w:rsidRPr="0044579C">
        <w:rPr>
          <w:rFonts w:eastAsia="Calibri"/>
          <w:sz w:val="24"/>
          <w:szCs w:val="24"/>
          <w:lang w:val="hr-HR"/>
        </w:rPr>
        <w:t xml:space="preserve"> 78.983.899</w:t>
      </w:r>
      <w:r w:rsidR="00A614ED" w:rsidRPr="0044579C">
        <w:rPr>
          <w:rFonts w:eastAsia="Calibri"/>
          <w:sz w:val="24"/>
          <w:szCs w:val="24"/>
          <w:lang w:val="hr-HR"/>
        </w:rPr>
        <w:t xml:space="preserve"> </w:t>
      </w:r>
      <w:r w:rsidRPr="0044579C">
        <w:rPr>
          <w:rFonts w:eastAsia="Calibri"/>
          <w:sz w:val="24"/>
          <w:szCs w:val="24"/>
          <w:lang w:val="hr-HR"/>
        </w:rPr>
        <w:t>kn</w:t>
      </w:r>
      <w:r w:rsidR="00C253B6" w:rsidRPr="0044579C">
        <w:rPr>
          <w:rFonts w:eastAsia="Calibri"/>
          <w:sz w:val="24"/>
          <w:szCs w:val="24"/>
          <w:lang w:val="hr-HR"/>
        </w:rPr>
        <w:t xml:space="preserve">, a odnose se na obveze za rashode poslovanja u iznosu </w:t>
      </w:r>
      <w:r w:rsidR="00C80DDF" w:rsidRPr="0044579C">
        <w:rPr>
          <w:rFonts w:eastAsia="Calibri"/>
          <w:sz w:val="24"/>
          <w:szCs w:val="24"/>
          <w:lang w:val="hr-HR"/>
        </w:rPr>
        <w:t xml:space="preserve">od </w:t>
      </w:r>
      <w:r w:rsidR="00C253B6" w:rsidRPr="0044579C">
        <w:rPr>
          <w:rFonts w:eastAsia="Calibri"/>
          <w:sz w:val="24"/>
          <w:szCs w:val="24"/>
          <w:lang w:val="hr-HR"/>
        </w:rPr>
        <w:t>42.066.757</w:t>
      </w:r>
      <w:r w:rsidR="00A614ED" w:rsidRPr="0044579C">
        <w:rPr>
          <w:rFonts w:eastAsia="Calibri"/>
          <w:sz w:val="24"/>
          <w:szCs w:val="24"/>
          <w:lang w:val="hr-HR"/>
        </w:rPr>
        <w:t xml:space="preserve"> </w:t>
      </w:r>
      <w:r w:rsidR="00C253B6" w:rsidRPr="0044579C">
        <w:rPr>
          <w:rFonts w:eastAsia="Calibri"/>
          <w:sz w:val="24"/>
          <w:szCs w:val="24"/>
          <w:lang w:val="hr-HR"/>
        </w:rPr>
        <w:t xml:space="preserve">kn, nabavu nefinancijske imovine u iznosu </w:t>
      </w:r>
      <w:r w:rsidR="00C80DDF" w:rsidRPr="0044579C">
        <w:rPr>
          <w:rFonts w:eastAsia="Calibri"/>
          <w:sz w:val="24"/>
          <w:szCs w:val="24"/>
          <w:lang w:val="hr-HR"/>
        </w:rPr>
        <w:t xml:space="preserve">od </w:t>
      </w:r>
      <w:r w:rsidR="00C253B6" w:rsidRPr="0044579C">
        <w:rPr>
          <w:rFonts w:eastAsia="Calibri"/>
          <w:sz w:val="24"/>
          <w:szCs w:val="24"/>
          <w:lang w:val="hr-HR"/>
        </w:rPr>
        <w:t xml:space="preserve">8.276.359 kn </w:t>
      </w:r>
      <w:r w:rsidR="00C80DDF" w:rsidRPr="0044579C">
        <w:rPr>
          <w:rFonts w:eastAsia="Calibri"/>
          <w:sz w:val="24"/>
          <w:szCs w:val="24"/>
          <w:lang w:val="hr-HR"/>
        </w:rPr>
        <w:t>te na</w:t>
      </w:r>
      <w:r w:rsidR="00C253B6" w:rsidRPr="0044579C">
        <w:rPr>
          <w:rFonts w:eastAsia="Calibri"/>
          <w:sz w:val="24"/>
          <w:szCs w:val="24"/>
          <w:lang w:val="hr-HR"/>
        </w:rPr>
        <w:t xml:space="preserve"> obveze za kredite i zajmove u iznosu </w:t>
      </w:r>
      <w:r w:rsidR="00C80DDF" w:rsidRPr="0044579C">
        <w:rPr>
          <w:rFonts w:eastAsia="Calibri"/>
          <w:sz w:val="24"/>
          <w:szCs w:val="24"/>
          <w:lang w:val="hr-HR"/>
        </w:rPr>
        <w:t xml:space="preserve">od </w:t>
      </w:r>
      <w:r w:rsidR="00C253B6" w:rsidRPr="0044579C">
        <w:rPr>
          <w:rFonts w:eastAsia="Calibri"/>
          <w:sz w:val="24"/>
          <w:szCs w:val="24"/>
          <w:lang w:val="hr-HR"/>
        </w:rPr>
        <w:t xml:space="preserve">28.640.783 kn. Krajem 2018. </w:t>
      </w:r>
      <w:r w:rsidR="00006033" w:rsidRPr="0044579C">
        <w:rPr>
          <w:rFonts w:eastAsia="Calibri"/>
          <w:sz w:val="24"/>
          <w:szCs w:val="24"/>
          <w:lang w:val="hr-HR"/>
        </w:rPr>
        <w:t xml:space="preserve">godine </w:t>
      </w:r>
      <w:r w:rsidR="00C253B6" w:rsidRPr="0044579C">
        <w:rPr>
          <w:rFonts w:eastAsia="Calibri"/>
          <w:sz w:val="24"/>
          <w:szCs w:val="24"/>
          <w:lang w:val="hr-HR"/>
        </w:rPr>
        <w:t>dospjele obveze iznose 24.182.524 kn</w:t>
      </w:r>
      <w:r w:rsidR="00C253B6" w:rsidRPr="0044579C">
        <w:rPr>
          <w:iCs/>
          <w:sz w:val="24"/>
          <w:szCs w:val="24"/>
          <w:lang w:val="hr-HR"/>
        </w:rPr>
        <w:t>, a nedospjele  u iznosu od 54.801.475 kn. Nedospjele obveze se odnose na:</w:t>
      </w:r>
    </w:p>
    <w:p w:rsidR="005E72AC" w:rsidRPr="00DE5491" w:rsidRDefault="005E72AC" w:rsidP="00DE5491">
      <w:pPr>
        <w:pStyle w:val="Tijeloteksta3"/>
        <w:ind w:firstLine="720"/>
        <w:jc w:val="both"/>
        <w:rPr>
          <w:iCs/>
          <w:sz w:val="24"/>
          <w:szCs w:val="24"/>
          <w:lang w:val="hr-HR"/>
        </w:rPr>
      </w:pPr>
    </w:p>
    <w:p w:rsidR="00C253B6" w:rsidRPr="0044579C" w:rsidRDefault="00C253B6" w:rsidP="00C253B6">
      <w:pPr>
        <w:numPr>
          <w:ilvl w:val="0"/>
          <w:numId w:val="13"/>
        </w:numPr>
        <w:spacing w:after="0" w:line="240" w:lineRule="auto"/>
        <w:jc w:val="both"/>
        <w:rPr>
          <w:rFonts w:ascii="Times New Roman" w:eastAsia="Times New Roman" w:hAnsi="Times New Roman" w:cs="Times New Roman"/>
          <w:sz w:val="24"/>
          <w:szCs w:val="24"/>
        </w:rPr>
      </w:pPr>
      <w:r w:rsidRPr="0044579C">
        <w:rPr>
          <w:rFonts w:ascii="Times New Roman" w:eastAsia="Times New Roman" w:hAnsi="Times New Roman" w:cs="Times New Roman"/>
          <w:iCs/>
          <w:sz w:val="24"/>
          <w:szCs w:val="24"/>
        </w:rPr>
        <w:t>međusobne obveze proračunskih korisnika za nepotrošene vlastite i namjenske prihode uplaćene u Proračun u iznosu od 4.247.494 kn;</w:t>
      </w:r>
    </w:p>
    <w:p w:rsidR="00C253B6" w:rsidRPr="0044579C" w:rsidRDefault="00C253B6" w:rsidP="00C253B6">
      <w:pPr>
        <w:numPr>
          <w:ilvl w:val="0"/>
          <w:numId w:val="13"/>
        </w:numPr>
        <w:spacing w:after="0" w:line="240" w:lineRule="auto"/>
        <w:jc w:val="both"/>
        <w:rPr>
          <w:rFonts w:ascii="Times New Roman" w:eastAsia="Times New Roman" w:hAnsi="Times New Roman" w:cs="Times New Roman"/>
          <w:iCs/>
          <w:sz w:val="24"/>
          <w:szCs w:val="24"/>
        </w:rPr>
      </w:pPr>
      <w:r w:rsidRPr="0044579C">
        <w:rPr>
          <w:rFonts w:ascii="Times New Roman" w:eastAsia="Times New Roman" w:hAnsi="Times New Roman" w:cs="Times New Roman"/>
          <w:iCs/>
          <w:sz w:val="24"/>
          <w:szCs w:val="24"/>
        </w:rPr>
        <w:t>obveze za rashode poslovanja u iznosu od  17.312.720 kn od čega se 12.685.411 kn odnosi na primljene predujmove za projekt Centar Trokut, projekt Revitalizacije tvrđave sv. Ivan, Hrvatski centar koralja Zlarin te projekt “Zajedno u bolje sutra”.</w:t>
      </w:r>
    </w:p>
    <w:p w:rsidR="00C253B6" w:rsidRPr="0044579C" w:rsidRDefault="00C253B6" w:rsidP="00C253B6">
      <w:pPr>
        <w:numPr>
          <w:ilvl w:val="0"/>
          <w:numId w:val="13"/>
        </w:numPr>
        <w:spacing w:after="0" w:line="240" w:lineRule="auto"/>
        <w:jc w:val="both"/>
        <w:rPr>
          <w:rFonts w:ascii="Times New Roman" w:eastAsia="Times New Roman" w:hAnsi="Times New Roman" w:cs="Times New Roman"/>
          <w:sz w:val="24"/>
          <w:szCs w:val="24"/>
        </w:rPr>
      </w:pPr>
      <w:r w:rsidRPr="0044579C">
        <w:rPr>
          <w:rFonts w:ascii="Times New Roman" w:eastAsia="Times New Roman" w:hAnsi="Times New Roman" w:cs="Times New Roman"/>
          <w:iCs/>
          <w:sz w:val="24"/>
          <w:szCs w:val="24"/>
        </w:rPr>
        <w:t>obveze za nabavu nefinancijske imovine u iznosu od 4.720.840 kn;</w:t>
      </w:r>
    </w:p>
    <w:p w:rsidR="00C253B6" w:rsidRPr="0044579C" w:rsidRDefault="00C253B6" w:rsidP="00C253B6">
      <w:pPr>
        <w:numPr>
          <w:ilvl w:val="0"/>
          <w:numId w:val="13"/>
        </w:numPr>
        <w:spacing w:after="0" w:line="240" w:lineRule="auto"/>
        <w:jc w:val="both"/>
        <w:rPr>
          <w:rFonts w:ascii="Times New Roman" w:eastAsia="Times New Roman" w:hAnsi="Times New Roman" w:cs="Times New Roman"/>
          <w:sz w:val="24"/>
          <w:szCs w:val="24"/>
        </w:rPr>
      </w:pPr>
      <w:r w:rsidRPr="0044579C">
        <w:rPr>
          <w:rFonts w:ascii="Times New Roman" w:eastAsia="Times New Roman" w:hAnsi="Times New Roman" w:cs="Times New Roman"/>
          <w:iCs/>
          <w:sz w:val="24"/>
          <w:szCs w:val="24"/>
        </w:rPr>
        <w:t>obveze za financijsku imovinu</w:t>
      </w:r>
      <w:r w:rsidR="003859EC">
        <w:rPr>
          <w:rFonts w:ascii="Times New Roman" w:eastAsia="Times New Roman" w:hAnsi="Times New Roman" w:cs="Times New Roman"/>
          <w:iCs/>
          <w:sz w:val="24"/>
          <w:szCs w:val="24"/>
        </w:rPr>
        <w:t xml:space="preserve"> </w:t>
      </w:r>
      <w:r w:rsidRPr="0044579C">
        <w:rPr>
          <w:rFonts w:ascii="Times New Roman" w:eastAsia="Times New Roman" w:hAnsi="Times New Roman" w:cs="Times New Roman"/>
          <w:iCs/>
          <w:sz w:val="24"/>
          <w:szCs w:val="24"/>
        </w:rPr>
        <w:t>- primljeni krediti i zajmovi u iznosu od 28.520.421 kn</w:t>
      </w:r>
      <w:r w:rsidR="003859EC">
        <w:rPr>
          <w:rFonts w:ascii="Times New Roman" w:eastAsia="Times New Roman" w:hAnsi="Times New Roman" w:cs="Times New Roman"/>
          <w:iCs/>
          <w:sz w:val="24"/>
          <w:szCs w:val="24"/>
        </w:rPr>
        <w:t>.</w:t>
      </w:r>
    </w:p>
    <w:p w:rsidR="009510D6" w:rsidRPr="0044579C" w:rsidRDefault="009510D6" w:rsidP="009510D6">
      <w:pPr>
        <w:spacing w:after="0" w:line="240" w:lineRule="auto"/>
        <w:ind w:left="720"/>
        <w:jc w:val="both"/>
        <w:rPr>
          <w:rFonts w:ascii="Times New Roman" w:eastAsia="Times New Roman" w:hAnsi="Times New Roman" w:cs="Times New Roman"/>
          <w:sz w:val="24"/>
          <w:szCs w:val="24"/>
        </w:rPr>
      </w:pPr>
    </w:p>
    <w:p w:rsidR="0082748D" w:rsidRPr="0044579C" w:rsidRDefault="000337E6" w:rsidP="00954CB2">
      <w:pPr>
        <w:pStyle w:val="Tijeloteksta3"/>
        <w:ind w:firstLine="720"/>
        <w:jc w:val="both"/>
        <w:rPr>
          <w:sz w:val="24"/>
          <w:szCs w:val="24"/>
          <w:lang w:val="hr-HR"/>
        </w:rPr>
      </w:pPr>
      <w:r w:rsidRPr="0044579C">
        <w:rPr>
          <w:rFonts w:eastAsia="Calibri"/>
          <w:sz w:val="24"/>
          <w:szCs w:val="24"/>
          <w:lang w:val="hr-HR"/>
        </w:rPr>
        <w:t>Ob</w:t>
      </w:r>
      <w:r w:rsidR="009510D6" w:rsidRPr="0044579C">
        <w:rPr>
          <w:rFonts w:eastAsia="Calibri"/>
          <w:sz w:val="24"/>
          <w:szCs w:val="24"/>
          <w:lang w:val="hr-HR"/>
        </w:rPr>
        <w:t>v</w:t>
      </w:r>
      <w:r w:rsidRPr="0044579C">
        <w:rPr>
          <w:rFonts w:eastAsia="Calibri"/>
          <w:sz w:val="24"/>
          <w:szCs w:val="24"/>
          <w:lang w:val="hr-HR"/>
        </w:rPr>
        <w:t>eze za kredite i zajmove odnose se na</w:t>
      </w:r>
      <w:r w:rsidRPr="0044579C">
        <w:rPr>
          <w:sz w:val="24"/>
          <w:szCs w:val="24"/>
          <w:lang w:val="hr-HR"/>
        </w:rPr>
        <w:t xml:space="preserve"> obveze za kredit iz 2014. </w:t>
      </w:r>
      <w:r w:rsidR="00006033" w:rsidRPr="0044579C">
        <w:rPr>
          <w:sz w:val="24"/>
          <w:szCs w:val="24"/>
          <w:lang w:val="hr-HR"/>
        </w:rPr>
        <w:t xml:space="preserve">godine </w:t>
      </w:r>
      <w:r w:rsidRPr="0044579C">
        <w:rPr>
          <w:sz w:val="24"/>
          <w:szCs w:val="24"/>
          <w:lang w:val="hr-HR"/>
        </w:rPr>
        <w:t>u iznosu</w:t>
      </w:r>
      <w:r w:rsidR="00613E82" w:rsidRPr="0044579C">
        <w:rPr>
          <w:sz w:val="24"/>
          <w:szCs w:val="24"/>
          <w:lang w:val="hr-HR"/>
        </w:rPr>
        <w:t xml:space="preserve"> od</w:t>
      </w:r>
      <w:r w:rsidRPr="0044579C">
        <w:rPr>
          <w:sz w:val="24"/>
          <w:szCs w:val="24"/>
          <w:lang w:val="hr-HR"/>
        </w:rPr>
        <w:t xml:space="preserve"> 15.155.677</w:t>
      </w:r>
      <w:r w:rsidR="00A614ED" w:rsidRPr="0044579C">
        <w:rPr>
          <w:sz w:val="24"/>
          <w:szCs w:val="24"/>
          <w:lang w:val="hr-HR"/>
        </w:rPr>
        <w:t xml:space="preserve"> </w:t>
      </w:r>
      <w:r w:rsidRPr="0044579C">
        <w:rPr>
          <w:sz w:val="24"/>
          <w:szCs w:val="24"/>
          <w:lang w:val="hr-HR"/>
        </w:rPr>
        <w:t>kn za financiranje kapitalnih projekata i rješavanje hipoteka, obveze za zajam iz 2012.</w:t>
      </w:r>
      <w:r w:rsidR="003859EC">
        <w:rPr>
          <w:sz w:val="24"/>
          <w:szCs w:val="24"/>
          <w:lang w:val="hr-HR"/>
        </w:rPr>
        <w:t xml:space="preserve"> godine</w:t>
      </w:r>
      <w:r w:rsidRPr="0044579C">
        <w:rPr>
          <w:sz w:val="24"/>
          <w:szCs w:val="24"/>
          <w:lang w:val="hr-HR"/>
        </w:rPr>
        <w:t xml:space="preserve"> od Ministarstva financija u iznosu</w:t>
      </w:r>
      <w:r w:rsidR="00613E82" w:rsidRPr="0044579C">
        <w:rPr>
          <w:sz w:val="24"/>
          <w:szCs w:val="24"/>
          <w:lang w:val="hr-HR"/>
        </w:rPr>
        <w:t xml:space="preserve"> od </w:t>
      </w:r>
      <w:r w:rsidRPr="0044579C">
        <w:rPr>
          <w:sz w:val="24"/>
          <w:szCs w:val="24"/>
          <w:lang w:val="hr-HR"/>
        </w:rPr>
        <w:t>8.995.925</w:t>
      </w:r>
      <w:r w:rsidR="00A614ED" w:rsidRPr="0044579C">
        <w:rPr>
          <w:sz w:val="24"/>
          <w:szCs w:val="24"/>
          <w:lang w:val="hr-HR"/>
        </w:rPr>
        <w:t xml:space="preserve"> </w:t>
      </w:r>
      <w:r w:rsidRPr="0044579C">
        <w:rPr>
          <w:sz w:val="24"/>
          <w:szCs w:val="24"/>
          <w:lang w:val="hr-HR"/>
        </w:rPr>
        <w:t xml:space="preserve">kn za sufinanciranje izgradnje prve faze centra za gospodarenje otpadom, </w:t>
      </w:r>
      <w:r w:rsidR="00006033" w:rsidRPr="0044579C">
        <w:rPr>
          <w:sz w:val="24"/>
          <w:szCs w:val="24"/>
          <w:lang w:val="hr-HR"/>
        </w:rPr>
        <w:t xml:space="preserve">te </w:t>
      </w:r>
      <w:r w:rsidRPr="0044579C">
        <w:rPr>
          <w:sz w:val="24"/>
          <w:szCs w:val="24"/>
          <w:lang w:val="hr-HR"/>
        </w:rPr>
        <w:t>obveze za zajam iz 2016.</w:t>
      </w:r>
      <w:r w:rsidR="003859EC">
        <w:rPr>
          <w:sz w:val="24"/>
          <w:szCs w:val="24"/>
          <w:lang w:val="hr-HR"/>
        </w:rPr>
        <w:t xml:space="preserve"> godine</w:t>
      </w:r>
      <w:r w:rsidRPr="0044579C">
        <w:rPr>
          <w:sz w:val="24"/>
          <w:szCs w:val="24"/>
          <w:lang w:val="hr-HR"/>
        </w:rPr>
        <w:t xml:space="preserve"> od Ministarstva financija u iznosu </w:t>
      </w:r>
      <w:r w:rsidR="00613E82" w:rsidRPr="0044579C">
        <w:rPr>
          <w:sz w:val="24"/>
          <w:szCs w:val="24"/>
          <w:lang w:val="hr-HR"/>
        </w:rPr>
        <w:t xml:space="preserve">od </w:t>
      </w:r>
      <w:r w:rsidRPr="0044579C">
        <w:rPr>
          <w:sz w:val="24"/>
          <w:szCs w:val="24"/>
          <w:lang w:val="hr-HR"/>
        </w:rPr>
        <w:t>4.355.846</w:t>
      </w:r>
      <w:r w:rsidR="00A614ED" w:rsidRPr="0044579C">
        <w:rPr>
          <w:sz w:val="24"/>
          <w:szCs w:val="24"/>
          <w:lang w:val="hr-HR"/>
        </w:rPr>
        <w:t xml:space="preserve"> </w:t>
      </w:r>
      <w:r w:rsidRPr="0044579C">
        <w:rPr>
          <w:sz w:val="24"/>
          <w:szCs w:val="24"/>
          <w:lang w:val="hr-HR"/>
        </w:rPr>
        <w:t>kn za sufinanciranje izgradnje druge faze centra za gospodarenje otpadom</w:t>
      </w:r>
      <w:r w:rsidR="00613E82" w:rsidRPr="0044579C">
        <w:rPr>
          <w:sz w:val="24"/>
          <w:szCs w:val="24"/>
          <w:lang w:val="hr-HR"/>
        </w:rPr>
        <w:t xml:space="preserve"> (iskorišteni dio zajma)</w:t>
      </w:r>
      <w:r w:rsidR="003859EC">
        <w:rPr>
          <w:sz w:val="24"/>
          <w:szCs w:val="24"/>
          <w:lang w:val="hr-HR"/>
        </w:rPr>
        <w:t>.</w:t>
      </w:r>
    </w:p>
    <w:p w:rsidR="00006033" w:rsidRPr="0044579C" w:rsidRDefault="00006033" w:rsidP="00954CB2">
      <w:pPr>
        <w:pStyle w:val="Tijeloteksta3"/>
        <w:ind w:firstLine="720"/>
        <w:jc w:val="both"/>
        <w:rPr>
          <w:sz w:val="24"/>
          <w:szCs w:val="24"/>
          <w:lang w:val="hr-HR"/>
        </w:rPr>
      </w:pPr>
    </w:p>
    <w:p w:rsidR="0082748D" w:rsidRPr="005E72AC" w:rsidRDefault="0082748D" w:rsidP="0082748D">
      <w:pPr>
        <w:pStyle w:val="Tijeloteksta3"/>
        <w:numPr>
          <w:ilvl w:val="0"/>
          <w:numId w:val="11"/>
        </w:numPr>
        <w:jc w:val="both"/>
        <w:rPr>
          <w:sz w:val="24"/>
          <w:szCs w:val="24"/>
          <w:lang w:val="hr-HR"/>
        </w:rPr>
      </w:pPr>
      <w:r w:rsidRPr="005E72AC">
        <w:rPr>
          <w:sz w:val="24"/>
          <w:szCs w:val="24"/>
          <w:lang w:val="hr-HR"/>
        </w:rPr>
        <w:t>Vlastiti izvori</w:t>
      </w:r>
    </w:p>
    <w:p w:rsidR="0082748D" w:rsidRPr="005E72AC" w:rsidRDefault="0082748D" w:rsidP="0082748D">
      <w:pPr>
        <w:pStyle w:val="Tijeloteksta3"/>
        <w:ind w:firstLine="720"/>
        <w:jc w:val="both"/>
        <w:rPr>
          <w:b/>
          <w:bCs/>
          <w:sz w:val="24"/>
          <w:szCs w:val="24"/>
          <w:lang w:val="hr-HR"/>
        </w:rPr>
      </w:pPr>
    </w:p>
    <w:p w:rsidR="00B0528B" w:rsidRPr="0044579C" w:rsidRDefault="00F10712" w:rsidP="0069154C">
      <w:pPr>
        <w:pStyle w:val="Tijeloteksta3"/>
        <w:ind w:firstLine="720"/>
        <w:jc w:val="both"/>
        <w:rPr>
          <w:color w:val="000000" w:themeColor="text1"/>
          <w:sz w:val="24"/>
          <w:szCs w:val="24"/>
          <w:lang w:val="hr-HR"/>
        </w:rPr>
      </w:pPr>
      <w:r w:rsidRPr="0044579C">
        <w:rPr>
          <w:rFonts w:eastAsia="Calibri"/>
          <w:color w:val="000000" w:themeColor="text1"/>
          <w:sz w:val="24"/>
          <w:szCs w:val="24"/>
          <w:lang w:val="hr-HR"/>
        </w:rPr>
        <w:t xml:space="preserve">Prilikom izrade financijskih izvještaja za razdoblje siječanj - prosinac 2018. godine, utvrđeno je da je na dan 31.12.2018. godine na razini 22 (Grad bez proračunskih korisnika) manjak prihoda i primitaka za pokriće u sljedećem razdoblju </w:t>
      </w:r>
      <w:r w:rsidRPr="000109C2">
        <w:rPr>
          <w:rFonts w:eastAsia="Calibri"/>
          <w:color w:val="000000" w:themeColor="text1"/>
          <w:sz w:val="24"/>
          <w:szCs w:val="24"/>
          <w:lang w:val="hr-HR"/>
        </w:rPr>
        <w:t xml:space="preserve">iznosio </w:t>
      </w:r>
      <w:r w:rsidRPr="000109C2">
        <w:rPr>
          <w:color w:val="000000" w:themeColor="text1"/>
          <w:sz w:val="24"/>
          <w:szCs w:val="24"/>
          <w:lang w:val="hr-HR" w:eastAsia="hr-HR"/>
        </w:rPr>
        <w:t>33.025.978</w:t>
      </w:r>
      <w:r w:rsidRPr="0044579C">
        <w:rPr>
          <w:color w:val="000000" w:themeColor="text1"/>
          <w:lang w:val="hr-HR" w:eastAsia="hr-HR"/>
        </w:rPr>
        <w:t xml:space="preserve"> </w:t>
      </w:r>
      <w:r w:rsidRPr="0044579C">
        <w:rPr>
          <w:rFonts w:eastAsia="Calibri"/>
          <w:color w:val="000000" w:themeColor="text1"/>
          <w:sz w:val="24"/>
          <w:szCs w:val="24"/>
          <w:lang w:val="hr-HR"/>
        </w:rPr>
        <w:t xml:space="preserve">kn. </w:t>
      </w:r>
      <w:r w:rsidRPr="0044579C">
        <w:rPr>
          <w:color w:val="000000" w:themeColor="text1"/>
          <w:sz w:val="24"/>
          <w:szCs w:val="24"/>
          <w:lang w:val="hr-HR"/>
        </w:rPr>
        <w:t>Tijekom 2019. godine izvršen je povrat neiskorištenih sredstava doznačenih od Hrvatskog zavoda za zapošljavanje, a temeljem ugovora o sufinanciranju zapošljavanja sklopljenih u 2017. i 2018. godini</w:t>
      </w:r>
      <w:r w:rsidR="000109C2">
        <w:rPr>
          <w:color w:val="000000" w:themeColor="text1"/>
          <w:sz w:val="24"/>
          <w:szCs w:val="24"/>
          <w:lang w:val="hr-HR"/>
        </w:rPr>
        <w:t>,</w:t>
      </w:r>
      <w:r w:rsidRPr="0044579C">
        <w:rPr>
          <w:color w:val="000000" w:themeColor="text1"/>
          <w:sz w:val="24"/>
          <w:szCs w:val="24"/>
          <w:lang w:val="hr-HR"/>
        </w:rPr>
        <w:t xml:space="preserve"> u sklopu Programa javnih radova u iznosu od 489.68</w:t>
      </w:r>
      <w:r w:rsidR="00747C40" w:rsidRPr="0044579C">
        <w:rPr>
          <w:color w:val="000000" w:themeColor="text1"/>
          <w:sz w:val="24"/>
          <w:szCs w:val="24"/>
          <w:lang w:val="hr-HR"/>
        </w:rPr>
        <w:t>2</w:t>
      </w:r>
      <w:r w:rsidRPr="0044579C">
        <w:rPr>
          <w:color w:val="000000" w:themeColor="text1"/>
          <w:sz w:val="24"/>
          <w:szCs w:val="24"/>
          <w:lang w:val="hr-HR"/>
        </w:rPr>
        <w:t xml:space="preserve"> kn, a koji je evidentiran na teret rezultata poslovanja, odnosno povećava manjak prihoda od nefinancijske imovine na </w:t>
      </w:r>
      <w:r w:rsidR="002725E2" w:rsidRPr="0044579C">
        <w:rPr>
          <w:color w:val="000000" w:themeColor="text1"/>
          <w:sz w:val="24"/>
          <w:szCs w:val="24"/>
          <w:lang w:val="hr-HR"/>
        </w:rPr>
        <w:t>33.515.660</w:t>
      </w:r>
      <w:r w:rsidRPr="0044579C">
        <w:rPr>
          <w:color w:val="000000" w:themeColor="text1"/>
          <w:sz w:val="24"/>
          <w:szCs w:val="24"/>
          <w:lang w:val="hr-HR"/>
        </w:rPr>
        <w:t xml:space="preserve"> kn.</w:t>
      </w:r>
      <w:r w:rsidR="00B0528B" w:rsidRPr="0044579C">
        <w:rPr>
          <w:color w:val="000000" w:themeColor="text1"/>
          <w:sz w:val="24"/>
          <w:szCs w:val="24"/>
          <w:lang w:val="hr-HR"/>
        </w:rPr>
        <w:t xml:space="preserve"> </w:t>
      </w:r>
    </w:p>
    <w:p w:rsidR="002768E5" w:rsidRPr="0044579C" w:rsidRDefault="002768E5" w:rsidP="0069154C">
      <w:pPr>
        <w:pStyle w:val="Tijeloteksta3"/>
        <w:ind w:firstLine="720"/>
        <w:jc w:val="both"/>
        <w:rPr>
          <w:sz w:val="24"/>
          <w:szCs w:val="24"/>
          <w:lang w:val="hr-HR"/>
        </w:rPr>
      </w:pPr>
      <w:r w:rsidRPr="0044579C">
        <w:rPr>
          <w:sz w:val="24"/>
          <w:szCs w:val="24"/>
          <w:lang w:val="hr-HR"/>
        </w:rPr>
        <w:t xml:space="preserve">Obračunati prihodi poslovanja i prihodi od prodaje nefinancijske imovine </w:t>
      </w:r>
      <w:r w:rsidR="0069154C" w:rsidRPr="0044579C">
        <w:rPr>
          <w:sz w:val="24"/>
          <w:szCs w:val="24"/>
          <w:lang w:val="hr-HR"/>
        </w:rPr>
        <w:t xml:space="preserve">su u odnosu na 2017. godinu ostvareni za </w:t>
      </w:r>
      <w:r w:rsidR="009E13B1" w:rsidRPr="0044579C">
        <w:rPr>
          <w:sz w:val="24"/>
          <w:szCs w:val="24"/>
          <w:lang w:val="hr-HR"/>
        </w:rPr>
        <w:t>10.273.328</w:t>
      </w:r>
      <w:r w:rsidR="0069154C" w:rsidRPr="0044579C">
        <w:rPr>
          <w:sz w:val="24"/>
          <w:szCs w:val="24"/>
          <w:lang w:val="hr-HR"/>
        </w:rPr>
        <w:t xml:space="preserve"> manje zbog</w:t>
      </w:r>
      <w:r w:rsidRPr="0044579C">
        <w:rPr>
          <w:sz w:val="24"/>
          <w:szCs w:val="24"/>
          <w:lang w:val="hr-HR"/>
        </w:rPr>
        <w:t xml:space="preserve"> </w:t>
      </w:r>
      <w:r w:rsidR="0069154C" w:rsidRPr="0044579C">
        <w:rPr>
          <w:rFonts w:eastAsia="Calibri"/>
          <w:sz w:val="24"/>
          <w:szCs w:val="24"/>
          <w:lang w:val="hr-HR"/>
        </w:rPr>
        <w:t>ispravka vrijednosti potraživanja</w:t>
      </w:r>
      <w:r w:rsidR="009E13B1" w:rsidRPr="0044579C">
        <w:rPr>
          <w:rFonts w:eastAsia="Calibri"/>
          <w:sz w:val="24"/>
          <w:szCs w:val="24"/>
          <w:lang w:val="hr-HR"/>
        </w:rPr>
        <w:t>.</w:t>
      </w:r>
    </w:p>
    <w:p w:rsidR="00241CE6" w:rsidRPr="0044579C" w:rsidRDefault="000337E6" w:rsidP="0069154C">
      <w:pPr>
        <w:pStyle w:val="Tijeloteksta3"/>
        <w:ind w:firstLine="708"/>
        <w:jc w:val="both"/>
        <w:rPr>
          <w:rFonts w:eastAsia="Calibri"/>
          <w:b/>
          <w:bCs/>
          <w:sz w:val="24"/>
          <w:szCs w:val="24"/>
          <w:lang w:val="hr-HR"/>
        </w:rPr>
      </w:pPr>
      <w:r w:rsidRPr="0044579C">
        <w:rPr>
          <w:sz w:val="24"/>
          <w:szCs w:val="24"/>
          <w:lang w:val="hr-HR"/>
        </w:rPr>
        <w:t xml:space="preserve">Vrijednost </w:t>
      </w:r>
      <w:proofErr w:type="spellStart"/>
      <w:r w:rsidRPr="0044579C">
        <w:rPr>
          <w:sz w:val="24"/>
          <w:szCs w:val="24"/>
          <w:lang w:val="hr-HR"/>
        </w:rPr>
        <w:t>izvanbilančnih</w:t>
      </w:r>
      <w:proofErr w:type="spellEnd"/>
      <w:r w:rsidRPr="0044579C">
        <w:rPr>
          <w:sz w:val="24"/>
          <w:szCs w:val="24"/>
          <w:lang w:val="hr-HR"/>
        </w:rPr>
        <w:t xml:space="preserve"> </w:t>
      </w:r>
      <w:r w:rsidR="00F74E53" w:rsidRPr="0044579C">
        <w:rPr>
          <w:sz w:val="24"/>
          <w:szCs w:val="24"/>
          <w:lang w:val="hr-HR"/>
        </w:rPr>
        <w:t xml:space="preserve">zapisa </w:t>
      </w:r>
      <w:r w:rsidR="0082748D" w:rsidRPr="0044579C">
        <w:rPr>
          <w:sz w:val="24"/>
          <w:szCs w:val="24"/>
          <w:lang w:val="hr-HR"/>
        </w:rPr>
        <w:t>krajem</w:t>
      </w:r>
      <w:r w:rsidRPr="0044579C">
        <w:rPr>
          <w:sz w:val="24"/>
          <w:szCs w:val="24"/>
          <w:lang w:val="hr-HR"/>
        </w:rPr>
        <w:t xml:space="preserve"> 2018.</w:t>
      </w:r>
      <w:r w:rsidR="005161B2" w:rsidRPr="0044579C">
        <w:rPr>
          <w:sz w:val="24"/>
          <w:szCs w:val="24"/>
          <w:lang w:val="hr-HR"/>
        </w:rPr>
        <w:t xml:space="preserve"> godine je iznosila </w:t>
      </w:r>
      <w:r w:rsidR="005161B2" w:rsidRPr="000109C2">
        <w:rPr>
          <w:color w:val="000000"/>
          <w:sz w:val="24"/>
          <w:szCs w:val="24"/>
          <w:lang w:val="hr-HR" w:eastAsia="hr-HR"/>
        </w:rPr>
        <w:t>193.596.940</w:t>
      </w:r>
      <w:r w:rsidR="00A614ED" w:rsidRPr="0044579C">
        <w:rPr>
          <w:color w:val="000000"/>
          <w:lang w:val="hr-HR" w:eastAsia="hr-HR"/>
        </w:rPr>
        <w:t xml:space="preserve"> </w:t>
      </w:r>
      <w:r w:rsidRPr="0044579C">
        <w:rPr>
          <w:sz w:val="24"/>
          <w:szCs w:val="24"/>
          <w:lang w:val="hr-HR"/>
        </w:rPr>
        <w:t>kn</w:t>
      </w:r>
      <w:r w:rsidR="005161B2" w:rsidRPr="0044579C">
        <w:rPr>
          <w:sz w:val="24"/>
          <w:szCs w:val="24"/>
          <w:lang w:val="hr-HR"/>
        </w:rPr>
        <w:t xml:space="preserve">, a </w:t>
      </w:r>
      <w:r w:rsidRPr="0044579C">
        <w:rPr>
          <w:sz w:val="24"/>
          <w:szCs w:val="24"/>
          <w:lang w:val="hr-HR"/>
        </w:rPr>
        <w:t>odnosi se na vrijednost tuđe imovine dodijeljene Gradu na korištenje, dana jamstva i suglasnosti, instrumente osiguranja plaćanja (garancije,</w:t>
      </w:r>
      <w:r w:rsidR="0095403F">
        <w:rPr>
          <w:sz w:val="24"/>
          <w:szCs w:val="24"/>
          <w:lang w:val="hr-HR"/>
        </w:rPr>
        <w:t xml:space="preserve"> </w:t>
      </w:r>
      <w:r w:rsidRPr="0044579C">
        <w:rPr>
          <w:sz w:val="24"/>
          <w:szCs w:val="24"/>
          <w:lang w:val="hr-HR"/>
        </w:rPr>
        <w:t>zadužnice),</w:t>
      </w:r>
      <w:r w:rsidR="0095403F">
        <w:rPr>
          <w:sz w:val="24"/>
          <w:szCs w:val="24"/>
          <w:lang w:val="hr-HR"/>
        </w:rPr>
        <w:t xml:space="preserve"> </w:t>
      </w:r>
      <w:r w:rsidRPr="0044579C">
        <w:rPr>
          <w:sz w:val="24"/>
          <w:szCs w:val="24"/>
          <w:lang w:val="hr-HR"/>
        </w:rPr>
        <w:t>potencijalne obveze po osnovi sudskih sporova, zajam Ministarstva gospodarstva iz 2008.</w:t>
      </w:r>
      <w:r w:rsidR="000109C2">
        <w:rPr>
          <w:sz w:val="24"/>
          <w:szCs w:val="24"/>
          <w:lang w:val="hr-HR"/>
        </w:rPr>
        <w:t xml:space="preserve"> godine</w:t>
      </w:r>
      <w:r w:rsidRPr="0044579C">
        <w:rPr>
          <w:sz w:val="24"/>
          <w:szCs w:val="24"/>
          <w:lang w:val="hr-HR"/>
        </w:rPr>
        <w:t xml:space="preserve"> za financiranje razgradnje i sanacije zemljišta trgovačkog društva u vlasništvu </w:t>
      </w:r>
      <w:r w:rsidR="00977C7D" w:rsidRPr="0044579C">
        <w:rPr>
          <w:sz w:val="24"/>
          <w:szCs w:val="24"/>
          <w:lang w:val="hr-HR"/>
        </w:rPr>
        <w:t>Grad</w:t>
      </w:r>
      <w:r w:rsidR="000F312E" w:rsidRPr="0044579C">
        <w:rPr>
          <w:sz w:val="24"/>
          <w:szCs w:val="24"/>
          <w:lang w:val="hr-HR"/>
        </w:rPr>
        <w:t xml:space="preserve">a </w:t>
      </w:r>
      <w:r w:rsidR="00977C7D" w:rsidRPr="0044579C">
        <w:rPr>
          <w:sz w:val="24"/>
          <w:szCs w:val="24"/>
          <w:lang w:val="hr-HR"/>
        </w:rPr>
        <w:t xml:space="preserve">te </w:t>
      </w:r>
      <w:r w:rsidRPr="0044579C">
        <w:rPr>
          <w:sz w:val="24"/>
          <w:szCs w:val="24"/>
          <w:lang w:val="hr-HR"/>
        </w:rPr>
        <w:t xml:space="preserve">zajam Ministarstva financija za sufinanciranje EU projekta Izgradnja </w:t>
      </w:r>
      <w:r w:rsidR="000109C2" w:rsidRPr="0044579C">
        <w:rPr>
          <w:sz w:val="24"/>
          <w:szCs w:val="24"/>
          <w:lang w:val="hr-HR"/>
        </w:rPr>
        <w:t xml:space="preserve">Centra </w:t>
      </w:r>
      <w:r w:rsidRPr="0044579C">
        <w:rPr>
          <w:sz w:val="24"/>
          <w:szCs w:val="24"/>
          <w:lang w:val="hr-HR"/>
        </w:rPr>
        <w:t xml:space="preserve">za gospodarenje otpadom </w:t>
      </w:r>
      <w:proofErr w:type="spellStart"/>
      <w:r w:rsidRPr="0044579C">
        <w:rPr>
          <w:sz w:val="24"/>
          <w:szCs w:val="24"/>
          <w:lang w:val="hr-HR"/>
        </w:rPr>
        <w:t>Bikarac</w:t>
      </w:r>
      <w:proofErr w:type="spellEnd"/>
      <w:r w:rsidR="000109C2">
        <w:rPr>
          <w:sz w:val="24"/>
          <w:szCs w:val="24"/>
          <w:lang w:val="hr-HR"/>
        </w:rPr>
        <w:t xml:space="preserve"> -</w:t>
      </w:r>
      <w:r w:rsidRPr="0044579C">
        <w:rPr>
          <w:sz w:val="24"/>
          <w:szCs w:val="24"/>
          <w:lang w:val="hr-HR"/>
        </w:rPr>
        <w:t xml:space="preserve"> faza II (neiskorišteni dio zajma).</w:t>
      </w:r>
    </w:p>
    <w:p w:rsidR="00522354" w:rsidRPr="0044579C" w:rsidRDefault="00522354" w:rsidP="0080233D">
      <w:pPr>
        <w:spacing w:after="0" w:line="276" w:lineRule="auto"/>
        <w:jc w:val="both"/>
        <w:rPr>
          <w:rFonts w:ascii="Times New Roman" w:eastAsia="Calibri" w:hAnsi="Times New Roman" w:cs="Times New Roman"/>
          <w:b/>
          <w:bCs/>
          <w:sz w:val="24"/>
          <w:szCs w:val="24"/>
        </w:rPr>
      </w:pPr>
    </w:p>
    <w:p w:rsidR="00587A1C" w:rsidRDefault="00587A1C" w:rsidP="0080233D">
      <w:pPr>
        <w:spacing w:after="0" w:line="276" w:lineRule="auto"/>
        <w:jc w:val="both"/>
        <w:rPr>
          <w:rFonts w:ascii="Times New Roman" w:eastAsia="Calibri" w:hAnsi="Times New Roman" w:cs="Times New Roman"/>
          <w:b/>
          <w:bCs/>
          <w:sz w:val="24"/>
          <w:szCs w:val="24"/>
        </w:rPr>
      </w:pPr>
    </w:p>
    <w:p w:rsidR="000756CF" w:rsidRDefault="000756CF" w:rsidP="0080233D">
      <w:pPr>
        <w:spacing w:after="0" w:line="276" w:lineRule="auto"/>
        <w:jc w:val="both"/>
        <w:rPr>
          <w:rFonts w:ascii="Times New Roman" w:eastAsia="Calibri" w:hAnsi="Times New Roman" w:cs="Times New Roman"/>
          <w:b/>
          <w:bCs/>
          <w:sz w:val="24"/>
          <w:szCs w:val="24"/>
        </w:rPr>
      </w:pPr>
    </w:p>
    <w:p w:rsidR="00DD0A9A" w:rsidRPr="0044579C" w:rsidRDefault="00DD0A9A" w:rsidP="0080233D">
      <w:pPr>
        <w:spacing w:after="0" w:line="276" w:lineRule="auto"/>
        <w:jc w:val="both"/>
        <w:rPr>
          <w:rFonts w:ascii="Times New Roman" w:eastAsia="Calibri" w:hAnsi="Times New Roman" w:cs="Times New Roman"/>
          <w:b/>
          <w:bCs/>
          <w:sz w:val="24"/>
          <w:szCs w:val="24"/>
        </w:rPr>
      </w:pPr>
    </w:p>
    <w:p w:rsidR="004D7C56" w:rsidRPr="0044579C" w:rsidRDefault="0080233D" w:rsidP="0080233D">
      <w:pPr>
        <w:spacing w:after="0" w:line="276" w:lineRule="auto"/>
        <w:jc w:val="both"/>
        <w:rPr>
          <w:rFonts w:ascii="Times New Roman" w:eastAsia="Calibri" w:hAnsi="Times New Roman" w:cs="Times New Roman"/>
          <w:b/>
          <w:bCs/>
          <w:sz w:val="24"/>
          <w:szCs w:val="24"/>
        </w:rPr>
      </w:pPr>
      <w:r w:rsidRPr="0044579C">
        <w:rPr>
          <w:rFonts w:ascii="Times New Roman" w:eastAsia="Calibri" w:hAnsi="Times New Roman" w:cs="Times New Roman"/>
          <w:b/>
          <w:bCs/>
          <w:sz w:val="24"/>
          <w:szCs w:val="24"/>
        </w:rPr>
        <w:t xml:space="preserve"> </w:t>
      </w:r>
      <w:r w:rsidR="0080604E" w:rsidRPr="0044579C">
        <w:rPr>
          <w:rFonts w:ascii="Times New Roman" w:eastAsia="Calibri" w:hAnsi="Times New Roman" w:cs="Times New Roman"/>
          <w:b/>
          <w:bCs/>
          <w:sz w:val="24"/>
          <w:szCs w:val="24"/>
        </w:rPr>
        <w:t>Izvještaj o prihodima i primicima</w:t>
      </w:r>
    </w:p>
    <w:p w:rsidR="00522354" w:rsidRPr="0044579C" w:rsidRDefault="00522354" w:rsidP="00522354">
      <w:pPr>
        <w:spacing w:after="0" w:line="276" w:lineRule="auto"/>
        <w:jc w:val="both"/>
        <w:rPr>
          <w:rFonts w:ascii="Times New Roman" w:eastAsia="Calibri" w:hAnsi="Times New Roman" w:cs="Times New Roman"/>
          <w:b/>
          <w:bCs/>
          <w:sz w:val="24"/>
          <w:szCs w:val="24"/>
        </w:rPr>
      </w:pPr>
    </w:p>
    <w:p w:rsidR="00522354" w:rsidRPr="0044579C" w:rsidRDefault="00522354" w:rsidP="00522354">
      <w:pPr>
        <w:pStyle w:val="Tijeloteksta3"/>
        <w:ind w:firstLine="708"/>
        <w:jc w:val="both"/>
        <w:rPr>
          <w:rFonts w:eastAsia="Calibri"/>
          <w:sz w:val="24"/>
          <w:szCs w:val="24"/>
          <w:lang w:val="hr-HR"/>
        </w:rPr>
      </w:pPr>
      <w:r w:rsidRPr="0044579C">
        <w:rPr>
          <w:rFonts w:eastAsia="Calibri"/>
          <w:sz w:val="24"/>
          <w:szCs w:val="24"/>
          <w:lang w:val="hr-HR"/>
        </w:rPr>
        <w:t xml:space="preserve">Ukupni prihodi i primici su u 2018. godini ostvareni u ukupnom iznosu od 196.017.356 kn, što je za 13.297.036 kn više u odnosu na isto razdoblje 2017. godine. </w:t>
      </w:r>
    </w:p>
    <w:p w:rsidR="00484814" w:rsidRPr="0044579C" w:rsidRDefault="00484814" w:rsidP="00522354">
      <w:pPr>
        <w:pStyle w:val="Tijeloteksta3"/>
        <w:ind w:firstLine="708"/>
        <w:jc w:val="both"/>
        <w:rPr>
          <w:rFonts w:eastAsia="Calibri"/>
          <w:sz w:val="24"/>
          <w:szCs w:val="24"/>
          <w:lang w:val="hr-HR"/>
        </w:rPr>
      </w:pPr>
    </w:p>
    <w:p w:rsidR="00522354" w:rsidRPr="0044579C" w:rsidRDefault="00484814" w:rsidP="00A03230">
      <w:pPr>
        <w:pStyle w:val="Tijeloteksta3"/>
        <w:ind w:firstLine="708"/>
        <w:jc w:val="both"/>
        <w:rPr>
          <w:rFonts w:eastAsia="Calibri"/>
          <w:sz w:val="24"/>
          <w:szCs w:val="24"/>
          <w:lang w:val="hr-HR"/>
        </w:rPr>
      </w:pPr>
      <w:r w:rsidRPr="0044579C">
        <w:rPr>
          <w:sz w:val="24"/>
          <w:szCs w:val="24"/>
          <w:lang w:val="hr-HR"/>
        </w:rPr>
        <w:t>U tablici u nastavku se daju podaci o ostvarenim prihodima i primicima u 2017. i 2018. godini.</w:t>
      </w:r>
    </w:p>
    <w:tbl>
      <w:tblPr>
        <w:tblpPr w:leftFromText="180" w:rightFromText="180" w:vertAnchor="text" w:horzAnchor="margin" w:tblpXSpec="center" w:tblpY="217"/>
        <w:tblW w:w="8217" w:type="dxa"/>
        <w:tblLook w:val="04A0" w:firstRow="1" w:lastRow="0" w:firstColumn="1" w:lastColumn="0" w:noHBand="0" w:noVBand="1"/>
      </w:tblPr>
      <w:tblGrid>
        <w:gridCol w:w="4940"/>
        <w:gridCol w:w="1617"/>
        <w:gridCol w:w="1660"/>
      </w:tblGrid>
      <w:tr w:rsidR="00862B7C" w:rsidRPr="0044579C" w:rsidTr="00862B7C">
        <w:trPr>
          <w:trHeight w:val="300"/>
        </w:trPr>
        <w:tc>
          <w:tcPr>
            <w:tcW w:w="4940"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rsidR="00862B7C" w:rsidRPr="0044579C" w:rsidRDefault="00862B7C" w:rsidP="00F658F9">
            <w:pPr>
              <w:spacing w:after="0" w:line="240" w:lineRule="auto"/>
              <w:jc w:val="center"/>
              <w:rPr>
                <w:rFonts w:ascii="Times New Roman" w:eastAsia="Times New Roman" w:hAnsi="Times New Roman" w:cs="Times New Roman"/>
                <w:b/>
                <w:bCs/>
                <w:lang w:eastAsia="hr-HR"/>
              </w:rPr>
            </w:pPr>
            <w:r w:rsidRPr="0044579C">
              <w:rPr>
                <w:rFonts w:ascii="Times New Roman" w:eastAsia="Times New Roman" w:hAnsi="Times New Roman" w:cs="Times New Roman"/>
                <w:b/>
                <w:bCs/>
                <w:lang w:eastAsia="hr-HR"/>
              </w:rPr>
              <w:t>Opis</w:t>
            </w:r>
          </w:p>
        </w:tc>
        <w:tc>
          <w:tcPr>
            <w:tcW w:w="1617" w:type="dxa"/>
            <w:tcBorders>
              <w:top w:val="single" w:sz="4" w:space="0" w:color="auto"/>
              <w:left w:val="nil"/>
              <w:bottom w:val="single" w:sz="4" w:space="0" w:color="auto"/>
              <w:right w:val="single" w:sz="4" w:space="0" w:color="auto"/>
            </w:tcBorders>
            <w:shd w:val="clear" w:color="000000" w:fill="8EA9DB"/>
            <w:noWrap/>
            <w:vAlign w:val="bottom"/>
            <w:hideMark/>
          </w:tcPr>
          <w:p w:rsidR="00862B7C" w:rsidRPr="0044579C" w:rsidRDefault="00862B7C" w:rsidP="000109C2">
            <w:pPr>
              <w:spacing w:after="0" w:line="240" w:lineRule="auto"/>
              <w:jc w:val="center"/>
              <w:rPr>
                <w:rFonts w:ascii="Times New Roman" w:eastAsia="Times New Roman" w:hAnsi="Times New Roman" w:cs="Times New Roman"/>
                <w:b/>
                <w:bCs/>
                <w:lang w:eastAsia="hr-HR"/>
              </w:rPr>
            </w:pPr>
            <w:r w:rsidRPr="0044579C">
              <w:rPr>
                <w:rFonts w:ascii="Times New Roman" w:eastAsia="Times New Roman" w:hAnsi="Times New Roman" w:cs="Times New Roman"/>
                <w:b/>
                <w:bCs/>
                <w:lang w:eastAsia="hr-HR"/>
              </w:rPr>
              <w:t>Ostvarenje 2017</w:t>
            </w:r>
          </w:p>
        </w:tc>
        <w:tc>
          <w:tcPr>
            <w:tcW w:w="1660" w:type="dxa"/>
            <w:tcBorders>
              <w:top w:val="single" w:sz="4" w:space="0" w:color="auto"/>
              <w:left w:val="nil"/>
              <w:bottom w:val="single" w:sz="4" w:space="0" w:color="auto"/>
              <w:right w:val="single" w:sz="4" w:space="0" w:color="auto"/>
            </w:tcBorders>
            <w:shd w:val="clear" w:color="000000" w:fill="8EA9DB"/>
            <w:noWrap/>
            <w:vAlign w:val="bottom"/>
            <w:hideMark/>
          </w:tcPr>
          <w:p w:rsidR="00862B7C" w:rsidRPr="0044579C" w:rsidRDefault="00862B7C" w:rsidP="000109C2">
            <w:pPr>
              <w:spacing w:after="0" w:line="240" w:lineRule="auto"/>
              <w:jc w:val="center"/>
              <w:rPr>
                <w:rFonts w:ascii="Times New Roman" w:eastAsia="Times New Roman" w:hAnsi="Times New Roman" w:cs="Times New Roman"/>
                <w:b/>
                <w:bCs/>
                <w:color w:val="000000"/>
                <w:lang w:eastAsia="hr-HR"/>
              </w:rPr>
            </w:pPr>
            <w:r w:rsidRPr="0044579C">
              <w:rPr>
                <w:rFonts w:ascii="Times New Roman" w:eastAsia="Times New Roman" w:hAnsi="Times New Roman" w:cs="Times New Roman"/>
                <w:b/>
                <w:bCs/>
                <w:color w:val="000000"/>
                <w:lang w:eastAsia="hr-HR"/>
              </w:rPr>
              <w:t xml:space="preserve">Ostvarenje </w:t>
            </w:r>
            <w:r w:rsidR="000F7596" w:rsidRPr="0044579C">
              <w:rPr>
                <w:rFonts w:ascii="Times New Roman" w:eastAsia="Times New Roman" w:hAnsi="Times New Roman" w:cs="Times New Roman"/>
                <w:b/>
                <w:bCs/>
                <w:color w:val="000000"/>
                <w:lang w:eastAsia="hr-HR"/>
              </w:rPr>
              <w:t xml:space="preserve"> </w:t>
            </w:r>
            <w:r w:rsidRPr="0044579C">
              <w:rPr>
                <w:rFonts w:ascii="Times New Roman" w:eastAsia="Times New Roman" w:hAnsi="Times New Roman" w:cs="Times New Roman"/>
                <w:b/>
                <w:bCs/>
                <w:color w:val="000000"/>
                <w:lang w:eastAsia="hr-HR"/>
              </w:rPr>
              <w:t>2018</w:t>
            </w:r>
          </w:p>
        </w:tc>
      </w:tr>
      <w:tr w:rsidR="00862B7C" w:rsidRPr="0044579C" w:rsidTr="00862B7C">
        <w:trPr>
          <w:trHeight w:val="300"/>
        </w:trPr>
        <w:tc>
          <w:tcPr>
            <w:tcW w:w="4940" w:type="dxa"/>
            <w:tcBorders>
              <w:top w:val="nil"/>
              <w:left w:val="single" w:sz="4" w:space="0" w:color="auto"/>
              <w:bottom w:val="single" w:sz="4" w:space="0" w:color="auto"/>
              <w:right w:val="single" w:sz="4" w:space="0" w:color="auto"/>
            </w:tcBorders>
            <w:shd w:val="clear" w:color="000000" w:fill="B4C6E7"/>
            <w:noWrap/>
            <w:vAlign w:val="bottom"/>
            <w:hideMark/>
          </w:tcPr>
          <w:p w:rsidR="00862B7C" w:rsidRPr="0044579C" w:rsidRDefault="00862B7C" w:rsidP="00204327">
            <w:pPr>
              <w:spacing w:after="0" w:line="240" w:lineRule="auto"/>
              <w:rPr>
                <w:rFonts w:ascii="Times New Roman" w:eastAsia="Times New Roman" w:hAnsi="Times New Roman" w:cs="Times New Roman"/>
                <w:b/>
                <w:bCs/>
                <w:color w:val="000000"/>
                <w:lang w:eastAsia="hr-HR"/>
              </w:rPr>
            </w:pPr>
            <w:r w:rsidRPr="0044579C">
              <w:rPr>
                <w:rFonts w:ascii="Times New Roman" w:eastAsia="Times New Roman" w:hAnsi="Times New Roman" w:cs="Times New Roman"/>
                <w:b/>
                <w:bCs/>
                <w:color w:val="000000"/>
                <w:lang w:eastAsia="hr-HR"/>
              </w:rPr>
              <w:t>SVEUKUPNO</w:t>
            </w:r>
          </w:p>
        </w:tc>
        <w:tc>
          <w:tcPr>
            <w:tcW w:w="1617" w:type="dxa"/>
            <w:tcBorders>
              <w:top w:val="nil"/>
              <w:left w:val="nil"/>
              <w:bottom w:val="single" w:sz="4" w:space="0" w:color="auto"/>
              <w:right w:val="single" w:sz="4" w:space="0" w:color="auto"/>
            </w:tcBorders>
            <w:shd w:val="clear" w:color="000000" w:fill="B4C6E7"/>
            <w:noWrap/>
            <w:vAlign w:val="bottom"/>
            <w:hideMark/>
          </w:tcPr>
          <w:p w:rsidR="00862B7C" w:rsidRPr="0044579C" w:rsidRDefault="00862B7C" w:rsidP="00204327">
            <w:pPr>
              <w:spacing w:after="0" w:line="240" w:lineRule="auto"/>
              <w:jc w:val="right"/>
              <w:rPr>
                <w:rFonts w:ascii="Times New Roman" w:eastAsia="Times New Roman" w:hAnsi="Times New Roman" w:cs="Times New Roman"/>
                <w:b/>
                <w:bCs/>
                <w:color w:val="000000"/>
                <w:lang w:eastAsia="hr-HR"/>
              </w:rPr>
            </w:pPr>
            <w:r w:rsidRPr="0044579C">
              <w:rPr>
                <w:rFonts w:ascii="Times New Roman" w:eastAsia="Times New Roman" w:hAnsi="Times New Roman" w:cs="Times New Roman"/>
                <w:b/>
                <w:bCs/>
                <w:color w:val="000000"/>
                <w:lang w:eastAsia="hr-HR"/>
              </w:rPr>
              <w:t>182.720.319,58</w:t>
            </w:r>
          </w:p>
        </w:tc>
        <w:tc>
          <w:tcPr>
            <w:tcW w:w="1660" w:type="dxa"/>
            <w:tcBorders>
              <w:top w:val="nil"/>
              <w:left w:val="nil"/>
              <w:bottom w:val="single" w:sz="4" w:space="0" w:color="auto"/>
              <w:right w:val="single" w:sz="4" w:space="0" w:color="auto"/>
            </w:tcBorders>
            <w:shd w:val="clear" w:color="000000" w:fill="B4C6E7"/>
            <w:noWrap/>
            <w:hideMark/>
          </w:tcPr>
          <w:p w:rsidR="000109C2" w:rsidRDefault="000109C2" w:rsidP="00204327">
            <w:pPr>
              <w:spacing w:after="0" w:line="240" w:lineRule="auto"/>
              <w:jc w:val="right"/>
              <w:rPr>
                <w:rFonts w:ascii="Times New Roman" w:eastAsia="Times New Roman" w:hAnsi="Times New Roman" w:cs="Times New Roman"/>
                <w:b/>
                <w:bCs/>
                <w:color w:val="000000"/>
                <w:lang w:eastAsia="hr-HR"/>
              </w:rPr>
            </w:pPr>
          </w:p>
          <w:p w:rsidR="00862B7C" w:rsidRPr="0044579C" w:rsidRDefault="00862B7C" w:rsidP="00204327">
            <w:pPr>
              <w:spacing w:after="0" w:line="240" w:lineRule="auto"/>
              <w:jc w:val="right"/>
              <w:rPr>
                <w:rFonts w:ascii="Times New Roman" w:eastAsia="Times New Roman" w:hAnsi="Times New Roman" w:cs="Times New Roman"/>
                <w:b/>
                <w:bCs/>
                <w:color w:val="000000"/>
                <w:lang w:eastAsia="hr-HR"/>
              </w:rPr>
            </w:pPr>
            <w:r w:rsidRPr="0044579C">
              <w:rPr>
                <w:rFonts w:ascii="Times New Roman" w:eastAsia="Times New Roman" w:hAnsi="Times New Roman" w:cs="Times New Roman"/>
                <w:b/>
                <w:bCs/>
                <w:color w:val="000000"/>
                <w:lang w:eastAsia="hr-HR"/>
              </w:rPr>
              <w:t>196.017.355,83</w:t>
            </w:r>
          </w:p>
        </w:tc>
      </w:tr>
      <w:tr w:rsidR="00862B7C" w:rsidRPr="0044579C" w:rsidTr="00862B7C">
        <w:trPr>
          <w:trHeight w:val="300"/>
        </w:trPr>
        <w:tc>
          <w:tcPr>
            <w:tcW w:w="4940" w:type="dxa"/>
            <w:tcBorders>
              <w:top w:val="nil"/>
              <w:left w:val="single" w:sz="4" w:space="0" w:color="auto"/>
              <w:bottom w:val="single" w:sz="4" w:space="0" w:color="auto"/>
              <w:right w:val="single" w:sz="4" w:space="0" w:color="auto"/>
            </w:tcBorders>
            <w:shd w:val="clear" w:color="000000" w:fill="D9E1F2"/>
            <w:noWrap/>
            <w:vAlign w:val="bottom"/>
            <w:hideMark/>
          </w:tcPr>
          <w:p w:rsidR="00862B7C" w:rsidRPr="0044579C" w:rsidRDefault="00862B7C" w:rsidP="00204327">
            <w:pPr>
              <w:spacing w:after="0" w:line="240" w:lineRule="auto"/>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Prihodi poslovanja</w:t>
            </w:r>
          </w:p>
        </w:tc>
        <w:tc>
          <w:tcPr>
            <w:tcW w:w="1617" w:type="dxa"/>
            <w:tcBorders>
              <w:top w:val="nil"/>
              <w:left w:val="nil"/>
              <w:bottom w:val="single" w:sz="4" w:space="0" w:color="auto"/>
              <w:right w:val="single" w:sz="4" w:space="0" w:color="auto"/>
            </w:tcBorders>
            <w:shd w:val="clear" w:color="000000" w:fill="D9E1F2"/>
            <w:noWrap/>
            <w:vAlign w:val="bottom"/>
            <w:hideMark/>
          </w:tcPr>
          <w:p w:rsidR="00862B7C" w:rsidRPr="0044579C" w:rsidRDefault="00862B7C" w:rsidP="00204327">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172.189.252,08</w:t>
            </w:r>
          </w:p>
        </w:tc>
        <w:tc>
          <w:tcPr>
            <w:tcW w:w="1660" w:type="dxa"/>
            <w:tcBorders>
              <w:top w:val="nil"/>
              <w:left w:val="nil"/>
              <w:bottom w:val="single" w:sz="4" w:space="0" w:color="auto"/>
              <w:right w:val="single" w:sz="4" w:space="0" w:color="auto"/>
            </w:tcBorders>
            <w:shd w:val="clear" w:color="000000" w:fill="D9E1F2"/>
            <w:noWrap/>
            <w:hideMark/>
          </w:tcPr>
          <w:p w:rsidR="00862B7C" w:rsidRPr="0044579C" w:rsidRDefault="00862B7C" w:rsidP="00204327">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187.898.433,47</w:t>
            </w:r>
          </w:p>
        </w:tc>
      </w:tr>
      <w:tr w:rsidR="00862B7C" w:rsidRPr="0044579C" w:rsidTr="00862B7C">
        <w:trPr>
          <w:trHeight w:val="300"/>
        </w:trPr>
        <w:tc>
          <w:tcPr>
            <w:tcW w:w="4940" w:type="dxa"/>
            <w:tcBorders>
              <w:top w:val="nil"/>
              <w:left w:val="single" w:sz="4" w:space="0" w:color="auto"/>
              <w:bottom w:val="single" w:sz="4" w:space="0" w:color="auto"/>
              <w:right w:val="single" w:sz="4" w:space="0" w:color="auto"/>
            </w:tcBorders>
            <w:shd w:val="clear" w:color="000000" w:fill="FFFFFF"/>
            <w:noWrap/>
            <w:vAlign w:val="bottom"/>
            <w:hideMark/>
          </w:tcPr>
          <w:p w:rsidR="00862B7C" w:rsidRPr="0044579C" w:rsidRDefault="00862B7C" w:rsidP="00204327">
            <w:pPr>
              <w:spacing w:after="0" w:line="240" w:lineRule="auto"/>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Prihodi od poreza</w:t>
            </w:r>
          </w:p>
        </w:tc>
        <w:tc>
          <w:tcPr>
            <w:tcW w:w="1617" w:type="dxa"/>
            <w:tcBorders>
              <w:top w:val="nil"/>
              <w:left w:val="nil"/>
              <w:bottom w:val="single" w:sz="4" w:space="0" w:color="auto"/>
              <w:right w:val="single" w:sz="4" w:space="0" w:color="auto"/>
            </w:tcBorders>
            <w:shd w:val="clear" w:color="000000" w:fill="FFFFFF"/>
            <w:noWrap/>
            <w:vAlign w:val="bottom"/>
            <w:hideMark/>
          </w:tcPr>
          <w:p w:rsidR="00862B7C" w:rsidRPr="0044579C" w:rsidRDefault="00862B7C" w:rsidP="00204327">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79.870.891,15</w:t>
            </w:r>
          </w:p>
        </w:tc>
        <w:tc>
          <w:tcPr>
            <w:tcW w:w="1660" w:type="dxa"/>
            <w:tcBorders>
              <w:top w:val="nil"/>
              <w:left w:val="nil"/>
              <w:bottom w:val="single" w:sz="4" w:space="0" w:color="auto"/>
              <w:right w:val="single" w:sz="4" w:space="0" w:color="auto"/>
            </w:tcBorders>
            <w:shd w:val="clear" w:color="000000" w:fill="FFFFFF"/>
            <w:noWrap/>
            <w:hideMark/>
          </w:tcPr>
          <w:p w:rsidR="00862B7C" w:rsidRPr="0044579C" w:rsidRDefault="00862B7C" w:rsidP="00204327">
            <w:pPr>
              <w:spacing w:after="0" w:line="240" w:lineRule="auto"/>
              <w:contextualSpacing/>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100.348.274,56</w:t>
            </w:r>
          </w:p>
        </w:tc>
      </w:tr>
      <w:tr w:rsidR="00862B7C" w:rsidRPr="0044579C" w:rsidTr="00862B7C">
        <w:trPr>
          <w:trHeight w:val="600"/>
        </w:trPr>
        <w:tc>
          <w:tcPr>
            <w:tcW w:w="4940" w:type="dxa"/>
            <w:tcBorders>
              <w:top w:val="nil"/>
              <w:left w:val="single" w:sz="4" w:space="0" w:color="auto"/>
              <w:bottom w:val="single" w:sz="4" w:space="0" w:color="auto"/>
              <w:right w:val="single" w:sz="4" w:space="0" w:color="auto"/>
            </w:tcBorders>
            <w:shd w:val="clear" w:color="000000" w:fill="FFFFFF"/>
            <w:vAlign w:val="bottom"/>
            <w:hideMark/>
          </w:tcPr>
          <w:p w:rsidR="00862B7C" w:rsidRPr="0044579C" w:rsidRDefault="00862B7C" w:rsidP="00204327">
            <w:pPr>
              <w:spacing w:after="0" w:line="240" w:lineRule="auto"/>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Pomoći iz inozemstva  i od subjekata unutar općeg proračuna</w:t>
            </w:r>
          </w:p>
        </w:tc>
        <w:tc>
          <w:tcPr>
            <w:tcW w:w="1617" w:type="dxa"/>
            <w:tcBorders>
              <w:top w:val="nil"/>
              <w:left w:val="nil"/>
              <w:bottom w:val="single" w:sz="4" w:space="0" w:color="auto"/>
              <w:right w:val="single" w:sz="4" w:space="0" w:color="auto"/>
            </w:tcBorders>
            <w:shd w:val="clear" w:color="000000" w:fill="FFFFFF"/>
            <w:noWrap/>
            <w:vAlign w:val="bottom"/>
            <w:hideMark/>
          </w:tcPr>
          <w:p w:rsidR="00862B7C" w:rsidRPr="0044579C" w:rsidRDefault="00465647" w:rsidP="00465647">
            <w:pPr>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w:t>
            </w:r>
            <w:r w:rsidR="00862B7C" w:rsidRPr="0044579C">
              <w:rPr>
                <w:rFonts w:ascii="Times New Roman" w:eastAsia="Times New Roman" w:hAnsi="Times New Roman" w:cs="Times New Roman"/>
                <w:color w:val="000000"/>
                <w:lang w:eastAsia="hr-HR"/>
              </w:rPr>
              <w:t>31.174.102,33</w:t>
            </w:r>
          </w:p>
        </w:tc>
        <w:tc>
          <w:tcPr>
            <w:tcW w:w="1660" w:type="dxa"/>
            <w:tcBorders>
              <w:top w:val="nil"/>
              <w:left w:val="nil"/>
              <w:bottom w:val="single" w:sz="4" w:space="0" w:color="auto"/>
              <w:right w:val="single" w:sz="4" w:space="0" w:color="auto"/>
            </w:tcBorders>
            <w:shd w:val="clear" w:color="000000" w:fill="FFFFFF"/>
            <w:noWrap/>
            <w:hideMark/>
          </w:tcPr>
          <w:p w:rsidR="00754DE7" w:rsidRPr="0044579C" w:rsidRDefault="00754DE7" w:rsidP="00204327">
            <w:pPr>
              <w:spacing w:after="0" w:line="240" w:lineRule="auto"/>
              <w:jc w:val="right"/>
              <w:rPr>
                <w:rFonts w:ascii="Times New Roman" w:eastAsia="Times New Roman" w:hAnsi="Times New Roman" w:cs="Times New Roman"/>
                <w:color w:val="000000"/>
                <w:lang w:eastAsia="hr-HR"/>
              </w:rPr>
            </w:pPr>
          </w:p>
          <w:p w:rsidR="00862B7C" w:rsidRPr="0044579C" w:rsidRDefault="00862B7C" w:rsidP="00204327">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28.514.306,07</w:t>
            </w:r>
          </w:p>
        </w:tc>
      </w:tr>
      <w:tr w:rsidR="00862B7C" w:rsidRPr="0044579C" w:rsidTr="00862B7C">
        <w:trPr>
          <w:trHeight w:val="300"/>
        </w:trPr>
        <w:tc>
          <w:tcPr>
            <w:tcW w:w="4940" w:type="dxa"/>
            <w:tcBorders>
              <w:top w:val="nil"/>
              <w:left w:val="single" w:sz="4" w:space="0" w:color="auto"/>
              <w:bottom w:val="single" w:sz="4" w:space="0" w:color="auto"/>
              <w:right w:val="single" w:sz="4" w:space="0" w:color="auto"/>
            </w:tcBorders>
            <w:shd w:val="clear" w:color="000000" w:fill="FFFFFF"/>
            <w:noWrap/>
            <w:vAlign w:val="bottom"/>
            <w:hideMark/>
          </w:tcPr>
          <w:p w:rsidR="00862B7C" w:rsidRPr="0044579C" w:rsidRDefault="00862B7C" w:rsidP="00204327">
            <w:pPr>
              <w:spacing w:after="0" w:line="240" w:lineRule="auto"/>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Prihodi od imovine</w:t>
            </w:r>
          </w:p>
        </w:tc>
        <w:tc>
          <w:tcPr>
            <w:tcW w:w="1617" w:type="dxa"/>
            <w:tcBorders>
              <w:top w:val="nil"/>
              <w:left w:val="nil"/>
              <w:bottom w:val="single" w:sz="4" w:space="0" w:color="auto"/>
              <w:right w:val="single" w:sz="4" w:space="0" w:color="auto"/>
            </w:tcBorders>
            <w:shd w:val="clear" w:color="000000" w:fill="FFFFFF"/>
            <w:noWrap/>
            <w:vAlign w:val="bottom"/>
            <w:hideMark/>
          </w:tcPr>
          <w:p w:rsidR="00862B7C" w:rsidRPr="0044579C" w:rsidRDefault="00862B7C" w:rsidP="00204327">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11.226.372,49</w:t>
            </w:r>
          </w:p>
        </w:tc>
        <w:tc>
          <w:tcPr>
            <w:tcW w:w="1660" w:type="dxa"/>
            <w:tcBorders>
              <w:top w:val="nil"/>
              <w:left w:val="nil"/>
              <w:bottom w:val="single" w:sz="4" w:space="0" w:color="auto"/>
              <w:right w:val="single" w:sz="4" w:space="0" w:color="auto"/>
            </w:tcBorders>
            <w:shd w:val="clear" w:color="000000" w:fill="FFFFFF"/>
            <w:noWrap/>
            <w:hideMark/>
          </w:tcPr>
          <w:p w:rsidR="00862B7C" w:rsidRPr="0044579C" w:rsidRDefault="00862B7C" w:rsidP="00204327">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12.883.029,11</w:t>
            </w:r>
          </w:p>
        </w:tc>
      </w:tr>
      <w:tr w:rsidR="00862B7C" w:rsidRPr="0044579C" w:rsidTr="00862B7C">
        <w:trPr>
          <w:trHeight w:val="600"/>
        </w:trPr>
        <w:tc>
          <w:tcPr>
            <w:tcW w:w="4940" w:type="dxa"/>
            <w:tcBorders>
              <w:top w:val="nil"/>
              <w:left w:val="single" w:sz="4" w:space="0" w:color="auto"/>
              <w:bottom w:val="single" w:sz="4" w:space="0" w:color="auto"/>
              <w:right w:val="single" w:sz="4" w:space="0" w:color="auto"/>
            </w:tcBorders>
            <w:shd w:val="clear" w:color="000000" w:fill="FFFFFF"/>
            <w:vAlign w:val="bottom"/>
            <w:hideMark/>
          </w:tcPr>
          <w:p w:rsidR="00862B7C" w:rsidRPr="0044579C" w:rsidRDefault="00862B7C" w:rsidP="00204327">
            <w:pPr>
              <w:spacing w:after="0" w:line="240" w:lineRule="auto"/>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Prihodi od upravnih i administrativnih pristojbi, pristojbi po posebnim propisima i naknada</w:t>
            </w:r>
          </w:p>
        </w:tc>
        <w:tc>
          <w:tcPr>
            <w:tcW w:w="1617" w:type="dxa"/>
            <w:tcBorders>
              <w:top w:val="nil"/>
              <w:left w:val="nil"/>
              <w:bottom w:val="single" w:sz="4" w:space="0" w:color="auto"/>
              <w:right w:val="single" w:sz="4" w:space="0" w:color="auto"/>
            </w:tcBorders>
            <w:shd w:val="clear" w:color="000000" w:fill="FFFFFF"/>
            <w:noWrap/>
            <w:vAlign w:val="bottom"/>
            <w:hideMark/>
          </w:tcPr>
          <w:p w:rsidR="00862B7C" w:rsidRPr="0044579C" w:rsidRDefault="00862B7C" w:rsidP="00204327">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47.570.703,50</w:t>
            </w:r>
          </w:p>
        </w:tc>
        <w:tc>
          <w:tcPr>
            <w:tcW w:w="1660" w:type="dxa"/>
            <w:tcBorders>
              <w:top w:val="nil"/>
              <w:left w:val="nil"/>
              <w:bottom w:val="single" w:sz="4" w:space="0" w:color="auto"/>
              <w:right w:val="single" w:sz="4" w:space="0" w:color="auto"/>
            </w:tcBorders>
            <w:shd w:val="clear" w:color="000000" w:fill="FFFFFF"/>
            <w:noWrap/>
            <w:hideMark/>
          </w:tcPr>
          <w:p w:rsidR="00754DE7" w:rsidRPr="0044579C" w:rsidRDefault="00754DE7" w:rsidP="00204327">
            <w:pPr>
              <w:spacing w:after="0" w:line="240" w:lineRule="auto"/>
              <w:jc w:val="right"/>
              <w:rPr>
                <w:rFonts w:ascii="Times New Roman" w:eastAsia="Times New Roman" w:hAnsi="Times New Roman" w:cs="Times New Roman"/>
                <w:color w:val="000000"/>
                <w:lang w:eastAsia="hr-HR"/>
              </w:rPr>
            </w:pPr>
          </w:p>
          <w:p w:rsidR="00862B7C" w:rsidRPr="0044579C" w:rsidRDefault="00862B7C" w:rsidP="00204327">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42.073.654,86</w:t>
            </w:r>
          </w:p>
        </w:tc>
      </w:tr>
      <w:tr w:rsidR="00862B7C" w:rsidRPr="0044579C" w:rsidTr="00862B7C">
        <w:trPr>
          <w:trHeight w:val="600"/>
        </w:trPr>
        <w:tc>
          <w:tcPr>
            <w:tcW w:w="4940" w:type="dxa"/>
            <w:tcBorders>
              <w:top w:val="nil"/>
              <w:left w:val="single" w:sz="4" w:space="0" w:color="auto"/>
              <w:bottom w:val="single" w:sz="4" w:space="0" w:color="auto"/>
              <w:right w:val="single" w:sz="4" w:space="0" w:color="auto"/>
            </w:tcBorders>
            <w:shd w:val="clear" w:color="000000" w:fill="FFFFFF"/>
            <w:vAlign w:val="bottom"/>
            <w:hideMark/>
          </w:tcPr>
          <w:p w:rsidR="00862B7C" w:rsidRPr="0044579C" w:rsidRDefault="00862B7C" w:rsidP="00204327">
            <w:pPr>
              <w:spacing w:after="0" w:line="240" w:lineRule="auto"/>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Prihodi od prodaje proizvoda i robe te pruženih usluga i prihodi od donacija</w:t>
            </w:r>
          </w:p>
        </w:tc>
        <w:tc>
          <w:tcPr>
            <w:tcW w:w="1617" w:type="dxa"/>
            <w:tcBorders>
              <w:top w:val="nil"/>
              <w:left w:val="nil"/>
              <w:bottom w:val="single" w:sz="4" w:space="0" w:color="auto"/>
              <w:right w:val="single" w:sz="4" w:space="0" w:color="auto"/>
            </w:tcBorders>
            <w:shd w:val="clear" w:color="000000" w:fill="FFFFFF"/>
            <w:noWrap/>
            <w:vAlign w:val="bottom"/>
            <w:hideMark/>
          </w:tcPr>
          <w:p w:rsidR="00862B7C" w:rsidRPr="0044579C" w:rsidRDefault="00862B7C" w:rsidP="00204327">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1.593.041,83</w:t>
            </w:r>
          </w:p>
        </w:tc>
        <w:tc>
          <w:tcPr>
            <w:tcW w:w="1660" w:type="dxa"/>
            <w:tcBorders>
              <w:top w:val="nil"/>
              <w:left w:val="nil"/>
              <w:bottom w:val="single" w:sz="4" w:space="0" w:color="auto"/>
              <w:right w:val="single" w:sz="4" w:space="0" w:color="auto"/>
            </w:tcBorders>
            <w:shd w:val="clear" w:color="000000" w:fill="FFFFFF"/>
            <w:noWrap/>
            <w:hideMark/>
          </w:tcPr>
          <w:p w:rsidR="00754DE7" w:rsidRPr="0044579C" w:rsidRDefault="00754DE7" w:rsidP="00204327">
            <w:pPr>
              <w:spacing w:after="0" w:line="240" w:lineRule="auto"/>
              <w:jc w:val="right"/>
              <w:rPr>
                <w:rFonts w:ascii="Times New Roman" w:eastAsia="Times New Roman" w:hAnsi="Times New Roman" w:cs="Times New Roman"/>
                <w:color w:val="000000"/>
                <w:lang w:eastAsia="hr-HR"/>
              </w:rPr>
            </w:pPr>
          </w:p>
          <w:p w:rsidR="00862B7C" w:rsidRPr="0044579C" w:rsidRDefault="00862B7C" w:rsidP="00204327">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1.420.546,24</w:t>
            </w:r>
          </w:p>
        </w:tc>
      </w:tr>
      <w:tr w:rsidR="00862B7C" w:rsidRPr="0044579C" w:rsidTr="00862B7C">
        <w:trPr>
          <w:trHeight w:val="300"/>
        </w:trPr>
        <w:tc>
          <w:tcPr>
            <w:tcW w:w="4940" w:type="dxa"/>
            <w:tcBorders>
              <w:top w:val="nil"/>
              <w:left w:val="single" w:sz="4" w:space="0" w:color="auto"/>
              <w:bottom w:val="single" w:sz="4" w:space="0" w:color="auto"/>
              <w:right w:val="single" w:sz="4" w:space="0" w:color="auto"/>
            </w:tcBorders>
            <w:shd w:val="clear" w:color="000000" w:fill="FFFFFF"/>
            <w:noWrap/>
            <w:vAlign w:val="bottom"/>
            <w:hideMark/>
          </w:tcPr>
          <w:p w:rsidR="00862B7C" w:rsidRPr="0044579C" w:rsidRDefault="00862B7C" w:rsidP="00204327">
            <w:pPr>
              <w:spacing w:after="0" w:line="240" w:lineRule="auto"/>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Kazne, upravne mjere i ostali prihodi</w:t>
            </w:r>
          </w:p>
        </w:tc>
        <w:tc>
          <w:tcPr>
            <w:tcW w:w="1617" w:type="dxa"/>
            <w:tcBorders>
              <w:top w:val="nil"/>
              <w:left w:val="nil"/>
              <w:bottom w:val="single" w:sz="4" w:space="0" w:color="auto"/>
              <w:right w:val="single" w:sz="4" w:space="0" w:color="auto"/>
            </w:tcBorders>
            <w:shd w:val="clear" w:color="000000" w:fill="FFFFFF"/>
            <w:noWrap/>
            <w:vAlign w:val="bottom"/>
            <w:hideMark/>
          </w:tcPr>
          <w:p w:rsidR="00862B7C" w:rsidRPr="0044579C" w:rsidRDefault="00862B7C" w:rsidP="00204327">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754.140,78</w:t>
            </w:r>
          </w:p>
        </w:tc>
        <w:tc>
          <w:tcPr>
            <w:tcW w:w="1660" w:type="dxa"/>
            <w:tcBorders>
              <w:top w:val="nil"/>
              <w:left w:val="nil"/>
              <w:bottom w:val="single" w:sz="4" w:space="0" w:color="auto"/>
              <w:right w:val="single" w:sz="4" w:space="0" w:color="auto"/>
            </w:tcBorders>
            <w:shd w:val="clear" w:color="000000" w:fill="FFFFFF"/>
            <w:noWrap/>
            <w:hideMark/>
          </w:tcPr>
          <w:p w:rsidR="00862B7C" w:rsidRPr="0044579C" w:rsidRDefault="00862B7C" w:rsidP="00204327">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2.658.622,63</w:t>
            </w:r>
          </w:p>
        </w:tc>
      </w:tr>
      <w:tr w:rsidR="00862B7C" w:rsidRPr="0044579C" w:rsidTr="00862B7C">
        <w:trPr>
          <w:trHeight w:val="300"/>
        </w:trPr>
        <w:tc>
          <w:tcPr>
            <w:tcW w:w="4940" w:type="dxa"/>
            <w:tcBorders>
              <w:top w:val="nil"/>
              <w:left w:val="single" w:sz="4" w:space="0" w:color="auto"/>
              <w:bottom w:val="single" w:sz="4" w:space="0" w:color="auto"/>
              <w:right w:val="single" w:sz="4" w:space="0" w:color="auto"/>
            </w:tcBorders>
            <w:shd w:val="clear" w:color="000000" w:fill="D9E1F2"/>
            <w:noWrap/>
            <w:vAlign w:val="bottom"/>
            <w:hideMark/>
          </w:tcPr>
          <w:p w:rsidR="00862B7C" w:rsidRPr="0044579C" w:rsidRDefault="00862B7C" w:rsidP="00204327">
            <w:pPr>
              <w:spacing w:after="0" w:line="240" w:lineRule="auto"/>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Prihodi od prodaje nefinancijske imovine</w:t>
            </w:r>
          </w:p>
        </w:tc>
        <w:tc>
          <w:tcPr>
            <w:tcW w:w="1617" w:type="dxa"/>
            <w:tcBorders>
              <w:top w:val="nil"/>
              <w:left w:val="nil"/>
              <w:bottom w:val="single" w:sz="4" w:space="0" w:color="auto"/>
              <w:right w:val="single" w:sz="4" w:space="0" w:color="auto"/>
            </w:tcBorders>
            <w:shd w:val="clear" w:color="000000" w:fill="D9E1F2"/>
            <w:noWrap/>
            <w:vAlign w:val="bottom"/>
            <w:hideMark/>
          </w:tcPr>
          <w:p w:rsidR="00862B7C" w:rsidRPr="0044579C" w:rsidRDefault="00862B7C" w:rsidP="00204327">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2.300.932,84</w:t>
            </w:r>
          </w:p>
        </w:tc>
        <w:tc>
          <w:tcPr>
            <w:tcW w:w="1660" w:type="dxa"/>
            <w:tcBorders>
              <w:top w:val="nil"/>
              <w:left w:val="nil"/>
              <w:bottom w:val="single" w:sz="4" w:space="0" w:color="auto"/>
              <w:right w:val="single" w:sz="4" w:space="0" w:color="auto"/>
            </w:tcBorders>
            <w:shd w:val="clear" w:color="000000" w:fill="D9E1F2"/>
            <w:noWrap/>
            <w:hideMark/>
          </w:tcPr>
          <w:p w:rsidR="00862B7C" w:rsidRPr="0044579C" w:rsidRDefault="00862B7C" w:rsidP="00204327">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4.074.328,11</w:t>
            </w:r>
          </w:p>
        </w:tc>
      </w:tr>
      <w:tr w:rsidR="00862B7C" w:rsidRPr="0044579C" w:rsidTr="00862B7C">
        <w:trPr>
          <w:trHeight w:val="300"/>
        </w:trPr>
        <w:tc>
          <w:tcPr>
            <w:tcW w:w="4940" w:type="dxa"/>
            <w:tcBorders>
              <w:top w:val="nil"/>
              <w:left w:val="single" w:sz="4" w:space="0" w:color="auto"/>
              <w:bottom w:val="single" w:sz="4" w:space="0" w:color="auto"/>
              <w:right w:val="single" w:sz="4" w:space="0" w:color="auto"/>
            </w:tcBorders>
            <w:shd w:val="clear" w:color="000000" w:fill="FFFFFF"/>
            <w:noWrap/>
            <w:vAlign w:val="bottom"/>
            <w:hideMark/>
          </w:tcPr>
          <w:p w:rsidR="00862B7C" w:rsidRPr="0044579C" w:rsidRDefault="00862B7C" w:rsidP="00204327">
            <w:pPr>
              <w:spacing w:after="0" w:line="240" w:lineRule="auto"/>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 xml:space="preserve">Prihodi od prodaje </w:t>
            </w:r>
            <w:proofErr w:type="spellStart"/>
            <w:r w:rsidRPr="0044579C">
              <w:rPr>
                <w:rFonts w:ascii="Times New Roman" w:eastAsia="Times New Roman" w:hAnsi="Times New Roman" w:cs="Times New Roman"/>
                <w:color w:val="000000"/>
                <w:lang w:eastAsia="hr-HR"/>
              </w:rPr>
              <w:t>neproizvedene</w:t>
            </w:r>
            <w:proofErr w:type="spellEnd"/>
            <w:r w:rsidRPr="0044579C">
              <w:rPr>
                <w:rFonts w:ascii="Times New Roman" w:eastAsia="Times New Roman" w:hAnsi="Times New Roman" w:cs="Times New Roman"/>
                <w:color w:val="000000"/>
                <w:lang w:eastAsia="hr-HR"/>
              </w:rPr>
              <w:t xml:space="preserve"> imovine</w:t>
            </w:r>
          </w:p>
        </w:tc>
        <w:tc>
          <w:tcPr>
            <w:tcW w:w="1617" w:type="dxa"/>
            <w:tcBorders>
              <w:top w:val="nil"/>
              <w:left w:val="nil"/>
              <w:bottom w:val="single" w:sz="4" w:space="0" w:color="auto"/>
              <w:right w:val="single" w:sz="4" w:space="0" w:color="auto"/>
            </w:tcBorders>
            <w:shd w:val="clear" w:color="000000" w:fill="FFFFFF"/>
            <w:noWrap/>
            <w:vAlign w:val="bottom"/>
            <w:hideMark/>
          </w:tcPr>
          <w:p w:rsidR="00862B7C" w:rsidRPr="0044579C" w:rsidRDefault="00862B7C" w:rsidP="00204327">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599.993,67</w:t>
            </w:r>
          </w:p>
        </w:tc>
        <w:tc>
          <w:tcPr>
            <w:tcW w:w="1660" w:type="dxa"/>
            <w:tcBorders>
              <w:top w:val="nil"/>
              <w:left w:val="nil"/>
              <w:bottom w:val="single" w:sz="4" w:space="0" w:color="auto"/>
              <w:right w:val="single" w:sz="4" w:space="0" w:color="auto"/>
            </w:tcBorders>
            <w:shd w:val="clear" w:color="000000" w:fill="FFFFFF"/>
            <w:noWrap/>
            <w:hideMark/>
          </w:tcPr>
          <w:p w:rsidR="00862B7C" w:rsidRPr="0044579C" w:rsidRDefault="00862B7C" w:rsidP="00204327">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2.885.865,69</w:t>
            </w:r>
          </w:p>
        </w:tc>
      </w:tr>
      <w:tr w:rsidR="00862B7C" w:rsidRPr="0044579C" w:rsidTr="00862B7C">
        <w:trPr>
          <w:trHeight w:val="300"/>
        </w:trPr>
        <w:tc>
          <w:tcPr>
            <w:tcW w:w="4940" w:type="dxa"/>
            <w:tcBorders>
              <w:top w:val="nil"/>
              <w:left w:val="single" w:sz="4" w:space="0" w:color="auto"/>
              <w:bottom w:val="single" w:sz="4" w:space="0" w:color="auto"/>
              <w:right w:val="single" w:sz="4" w:space="0" w:color="auto"/>
            </w:tcBorders>
            <w:shd w:val="clear" w:color="000000" w:fill="FFFFFF"/>
            <w:noWrap/>
            <w:vAlign w:val="bottom"/>
            <w:hideMark/>
          </w:tcPr>
          <w:p w:rsidR="00862B7C" w:rsidRPr="0044579C" w:rsidRDefault="00862B7C" w:rsidP="00204327">
            <w:pPr>
              <w:spacing w:after="0" w:line="240" w:lineRule="auto"/>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Prihodi od prodaje proizvedene dugotrajne imovine</w:t>
            </w:r>
          </w:p>
        </w:tc>
        <w:tc>
          <w:tcPr>
            <w:tcW w:w="1617" w:type="dxa"/>
            <w:tcBorders>
              <w:top w:val="nil"/>
              <w:left w:val="nil"/>
              <w:bottom w:val="single" w:sz="4" w:space="0" w:color="auto"/>
              <w:right w:val="single" w:sz="4" w:space="0" w:color="auto"/>
            </w:tcBorders>
            <w:shd w:val="clear" w:color="000000" w:fill="FFFFFF"/>
            <w:noWrap/>
            <w:vAlign w:val="bottom"/>
            <w:hideMark/>
          </w:tcPr>
          <w:p w:rsidR="00862B7C" w:rsidRPr="0044579C" w:rsidRDefault="00862B7C" w:rsidP="00204327">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1.700.939,17</w:t>
            </w:r>
          </w:p>
        </w:tc>
        <w:tc>
          <w:tcPr>
            <w:tcW w:w="1660" w:type="dxa"/>
            <w:tcBorders>
              <w:top w:val="nil"/>
              <w:left w:val="nil"/>
              <w:bottom w:val="single" w:sz="4" w:space="0" w:color="auto"/>
              <w:right w:val="single" w:sz="4" w:space="0" w:color="auto"/>
            </w:tcBorders>
            <w:shd w:val="clear" w:color="000000" w:fill="FFFFFF"/>
            <w:noWrap/>
            <w:hideMark/>
          </w:tcPr>
          <w:p w:rsidR="00862B7C" w:rsidRPr="0044579C" w:rsidRDefault="00862B7C" w:rsidP="00204327">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1.188.462,42</w:t>
            </w:r>
          </w:p>
        </w:tc>
      </w:tr>
      <w:tr w:rsidR="00862B7C" w:rsidRPr="0044579C" w:rsidTr="00862B7C">
        <w:trPr>
          <w:trHeight w:val="300"/>
        </w:trPr>
        <w:tc>
          <w:tcPr>
            <w:tcW w:w="4940" w:type="dxa"/>
            <w:tcBorders>
              <w:top w:val="nil"/>
              <w:left w:val="single" w:sz="4" w:space="0" w:color="auto"/>
              <w:bottom w:val="single" w:sz="4" w:space="0" w:color="auto"/>
              <w:right w:val="single" w:sz="4" w:space="0" w:color="auto"/>
            </w:tcBorders>
            <w:shd w:val="clear" w:color="000000" w:fill="D9E1F2"/>
            <w:noWrap/>
            <w:vAlign w:val="bottom"/>
            <w:hideMark/>
          </w:tcPr>
          <w:p w:rsidR="00862B7C" w:rsidRPr="0044579C" w:rsidRDefault="00862B7C" w:rsidP="00204327">
            <w:pPr>
              <w:spacing w:after="0" w:line="240" w:lineRule="auto"/>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Primici od financijske imovine i zaduživanja</w:t>
            </w:r>
          </w:p>
        </w:tc>
        <w:tc>
          <w:tcPr>
            <w:tcW w:w="1617" w:type="dxa"/>
            <w:tcBorders>
              <w:top w:val="nil"/>
              <w:left w:val="nil"/>
              <w:bottom w:val="single" w:sz="4" w:space="0" w:color="auto"/>
              <w:right w:val="single" w:sz="4" w:space="0" w:color="auto"/>
            </w:tcBorders>
            <w:shd w:val="clear" w:color="000000" w:fill="D9E1F2"/>
            <w:noWrap/>
            <w:vAlign w:val="bottom"/>
            <w:hideMark/>
          </w:tcPr>
          <w:p w:rsidR="00862B7C" w:rsidRPr="0044579C" w:rsidRDefault="00862B7C" w:rsidP="00204327">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8.230.134,66</w:t>
            </w:r>
          </w:p>
        </w:tc>
        <w:tc>
          <w:tcPr>
            <w:tcW w:w="1660" w:type="dxa"/>
            <w:tcBorders>
              <w:top w:val="nil"/>
              <w:left w:val="nil"/>
              <w:bottom w:val="single" w:sz="4" w:space="0" w:color="auto"/>
              <w:right w:val="single" w:sz="4" w:space="0" w:color="auto"/>
            </w:tcBorders>
            <w:shd w:val="clear" w:color="000000" w:fill="D9E1F2"/>
            <w:noWrap/>
            <w:hideMark/>
          </w:tcPr>
          <w:p w:rsidR="00862B7C" w:rsidRPr="0044579C" w:rsidRDefault="00862B7C" w:rsidP="00204327">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4.044.594,25</w:t>
            </w:r>
          </w:p>
        </w:tc>
      </w:tr>
      <w:tr w:rsidR="00862B7C" w:rsidRPr="0044579C" w:rsidTr="00862B7C">
        <w:trPr>
          <w:trHeight w:val="300"/>
        </w:trPr>
        <w:tc>
          <w:tcPr>
            <w:tcW w:w="4940" w:type="dxa"/>
            <w:tcBorders>
              <w:top w:val="nil"/>
              <w:left w:val="single" w:sz="4" w:space="0" w:color="auto"/>
              <w:bottom w:val="single" w:sz="4" w:space="0" w:color="auto"/>
              <w:right w:val="single" w:sz="4" w:space="0" w:color="auto"/>
            </w:tcBorders>
            <w:shd w:val="clear" w:color="000000" w:fill="FFFFFF"/>
            <w:noWrap/>
            <w:vAlign w:val="bottom"/>
            <w:hideMark/>
          </w:tcPr>
          <w:p w:rsidR="00862B7C" w:rsidRPr="0044579C" w:rsidRDefault="00862B7C" w:rsidP="00204327">
            <w:pPr>
              <w:spacing w:after="0" w:line="240" w:lineRule="auto"/>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Primljeni povrati glavnica danih zajmova i depozita</w:t>
            </w:r>
          </w:p>
        </w:tc>
        <w:tc>
          <w:tcPr>
            <w:tcW w:w="1617" w:type="dxa"/>
            <w:tcBorders>
              <w:top w:val="nil"/>
              <w:left w:val="nil"/>
              <w:bottom w:val="single" w:sz="4" w:space="0" w:color="auto"/>
              <w:right w:val="single" w:sz="4" w:space="0" w:color="auto"/>
            </w:tcBorders>
            <w:shd w:val="clear" w:color="000000" w:fill="FFFFFF"/>
            <w:noWrap/>
            <w:vAlign w:val="bottom"/>
            <w:hideMark/>
          </w:tcPr>
          <w:p w:rsidR="00862B7C" w:rsidRPr="0044579C" w:rsidRDefault="00862B7C" w:rsidP="00204327">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4.025.193,66</w:t>
            </w:r>
          </w:p>
        </w:tc>
        <w:tc>
          <w:tcPr>
            <w:tcW w:w="1660" w:type="dxa"/>
            <w:tcBorders>
              <w:top w:val="nil"/>
              <w:left w:val="nil"/>
              <w:bottom w:val="single" w:sz="4" w:space="0" w:color="auto"/>
              <w:right w:val="single" w:sz="4" w:space="0" w:color="auto"/>
            </w:tcBorders>
            <w:shd w:val="clear" w:color="000000" w:fill="FFFFFF"/>
            <w:noWrap/>
            <w:hideMark/>
          </w:tcPr>
          <w:p w:rsidR="00862B7C" w:rsidRPr="0044579C" w:rsidRDefault="00862B7C" w:rsidP="00204327">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3.244.594,25</w:t>
            </w:r>
          </w:p>
        </w:tc>
      </w:tr>
      <w:tr w:rsidR="00862B7C" w:rsidRPr="0044579C" w:rsidTr="00862B7C">
        <w:trPr>
          <w:trHeight w:val="300"/>
        </w:trPr>
        <w:tc>
          <w:tcPr>
            <w:tcW w:w="4940" w:type="dxa"/>
            <w:tcBorders>
              <w:top w:val="nil"/>
              <w:left w:val="single" w:sz="4" w:space="0" w:color="auto"/>
              <w:bottom w:val="single" w:sz="4" w:space="0" w:color="auto"/>
              <w:right w:val="single" w:sz="4" w:space="0" w:color="auto"/>
            </w:tcBorders>
            <w:shd w:val="clear" w:color="000000" w:fill="FFFFFF"/>
            <w:noWrap/>
            <w:vAlign w:val="bottom"/>
            <w:hideMark/>
          </w:tcPr>
          <w:p w:rsidR="00862B7C" w:rsidRPr="0044579C" w:rsidRDefault="00862B7C" w:rsidP="00204327">
            <w:pPr>
              <w:spacing w:after="0" w:line="240" w:lineRule="auto"/>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Primici od zaduživanja</w:t>
            </w:r>
          </w:p>
        </w:tc>
        <w:tc>
          <w:tcPr>
            <w:tcW w:w="1617" w:type="dxa"/>
            <w:tcBorders>
              <w:top w:val="nil"/>
              <w:left w:val="nil"/>
              <w:bottom w:val="single" w:sz="4" w:space="0" w:color="auto"/>
              <w:right w:val="single" w:sz="4" w:space="0" w:color="auto"/>
            </w:tcBorders>
            <w:shd w:val="clear" w:color="000000" w:fill="FFFFFF"/>
            <w:noWrap/>
            <w:vAlign w:val="bottom"/>
            <w:hideMark/>
          </w:tcPr>
          <w:p w:rsidR="00862B7C" w:rsidRPr="0044579C" w:rsidRDefault="00862B7C" w:rsidP="00204327">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4.204.941,00</w:t>
            </w:r>
          </w:p>
        </w:tc>
        <w:tc>
          <w:tcPr>
            <w:tcW w:w="1660" w:type="dxa"/>
            <w:tcBorders>
              <w:top w:val="nil"/>
              <w:left w:val="nil"/>
              <w:bottom w:val="single" w:sz="4" w:space="0" w:color="auto"/>
              <w:right w:val="single" w:sz="4" w:space="0" w:color="auto"/>
            </w:tcBorders>
            <w:shd w:val="clear" w:color="000000" w:fill="FFFFFF"/>
            <w:noWrap/>
            <w:hideMark/>
          </w:tcPr>
          <w:p w:rsidR="00862B7C" w:rsidRPr="0044579C" w:rsidRDefault="00862B7C" w:rsidP="00204327">
            <w:pPr>
              <w:spacing w:after="0" w:line="240" w:lineRule="auto"/>
              <w:jc w:val="right"/>
              <w:rPr>
                <w:rFonts w:ascii="Times New Roman" w:eastAsia="Times New Roman" w:hAnsi="Times New Roman" w:cs="Times New Roman"/>
                <w:color w:val="000000"/>
                <w:lang w:eastAsia="hr-HR"/>
              </w:rPr>
            </w:pPr>
            <w:r w:rsidRPr="0044579C">
              <w:rPr>
                <w:rFonts w:ascii="Times New Roman" w:eastAsia="Times New Roman" w:hAnsi="Times New Roman" w:cs="Times New Roman"/>
                <w:color w:val="000000"/>
                <w:lang w:eastAsia="hr-HR"/>
              </w:rPr>
              <w:t>800.000,00</w:t>
            </w:r>
          </w:p>
        </w:tc>
      </w:tr>
    </w:tbl>
    <w:p w:rsidR="00587A1C" w:rsidRPr="0044579C" w:rsidRDefault="00587A1C" w:rsidP="00296BB6">
      <w:pPr>
        <w:spacing w:after="0" w:line="276" w:lineRule="auto"/>
        <w:ind w:firstLine="708"/>
        <w:jc w:val="both"/>
        <w:rPr>
          <w:rFonts w:ascii="Times New Roman" w:eastAsia="Calibri" w:hAnsi="Times New Roman" w:cs="Times New Roman"/>
          <w:sz w:val="24"/>
          <w:szCs w:val="24"/>
        </w:rPr>
      </w:pPr>
    </w:p>
    <w:p w:rsidR="00296BB6" w:rsidRPr="009021DB" w:rsidRDefault="00DE0438" w:rsidP="009021DB">
      <w:pPr>
        <w:spacing w:after="0" w:line="276" w:lineRule="auto"/>
        <w:ind w:firstLine="708"/>
        <w:jc w:val="both"/>
        <w:rPr>
          <w:rFonts w:ascii="Times New Roman" w:eastAsia="Calibri" w:hAnsi="Times New Roman" w:cs="Times New Roman"/>
          <w:sz w:val="24"/>
          <w:szCs w:val="24"/>
        </w:rPr>
      </w:pPr>
      <w:r w:rsidRPr="0044579C">
        <w:rPr>
          <w:rFonts w:ascii="Times New Roman" w:eastAsia="Calibri" w:hAnsi="Times New Roman" w:cs="Times New Roman"/>
          <w:sz w:val="24"/>
          <w:szCs w:val="24"/>
        </w:rPr>
        <w:t>Vrijednosno značajniji udjel imaju prihodi od poreza</w:t>
      </w:r>
      <w:r w:rsidR="007913C9" w:rsidRPr="0044579C">
        <w:rPr>
          <w:rFonts w:ascii="Times New Roman" w:eastAsia="Calibri" w:hAnsi="Times New Roman" w:cs="Times New Roman"/>
          <w:sz w:val="24"/>
          <w:szCs w:val="24"/>
        </w:rPr>
        <w:t xml:space="preserve"> </w:t>
      </w:r>
      <w:r w:rsidRPr="0044579C">
        <w:rPr>
          <w:rFonts w:ascii="Times New Roman" w:eastAsia="Calibri" w:hAnsi="Times New Roman" w:cs="Times New Roman"/>
          <w:sz w:val="24"/>
          <w:szCs w:val="24"/>
        </w:rPr>
        <w:t>51,2 %, prihodi od upravnih i administrativnih pristojbi, pristojbi po posebnim propisima</w:t>
      </w:r>
      <w:r w:rsidR="007913C9" w:rsidRPr="0044579C">
        <w:rPr>
          <w:rFonts w:ascii="Times New Roman" w:eastAsia="Calibri" w:hAnsi="Times New Roman" w:cs="Times New Roman"/>
          <w:sz w:val="24"/>
          <w:szCs w:val="24"/>
        </w:rPr>
        <w:t xml:space="preserve"> </w:t>
      </w:r>
      <w:r w:rsidRPr="0044579C">
        <w:rPr>
          <w:rFonts w:ascii="Times New Roman" w:eastAsia="Calibri" w:hAnsi="Times New Roman" w:cs="Times New Roman"/>
          <w:sz w:val="24"/>
          <w:szCs w:val="24"/>
        </w:rPr>
        <w:t xml:space="preserve">21,5 % i prihodi od pomoći iz inozemstva i od subjekata unutar općeg proračuna </w:t>
      </w:r>
      <w:r w:rsidR="000109C2">
        <w:rPr>
          <w:rFonts w:ascii="Times New Roman" w:eastAsia="Calibri" w:hAnsi="Times New Roman" w:cs="Times New Roman"/>
          <w:sz w:val="24"/>
          <w:szCs w:val="24"/>
        </w:rPr>
        <w:t xml:space="preserve">koji </w:t>
      </w:r>
      <w:r w:rsidR="007913C9" w:rsidRPr="0044579C">
        <w:rPr>
          <w:rFonts w:ascii="Times New Roman" w:eastAsia="Calibri" w:hAnsi="Times New Roman" w:cs="Times New Roman"/>
          <w:sz w:val="24"/>
          <w:szCs w:val="24"/>
        </w:rPr>
        <w:t xml:space="preserve">čine </w:t>
      </w:r>
      <w:r w:rsidRPr="0044579C">
        <w:rPr>
          <w:rFonts w:ascii="Times New Roman" w:eastAsia="Calibri" w:hAnsi="Times New Roman" w:cs="Times New Roman"/>
          <w:sz w:val="24"/>
          <w:szCs w:val="24"/>
        </w:rPr>
        <w:t>14,5 % ukupnih prihoda i primitaka. Svi drugi prihodi i primici (od imovine, prodaje proizvoda i robe i pruženih usluga i prihodi od donacija, kazni, upravnih mjera i ostalih prihoda, prodaje nefinancijske imovine i primici od financijske imovine i zaduživanja)</w:t>
      </w:r>
      <w:r w:rsidR="007913C9" w:rsidRPr="0044579C">
        <w:rPr>
          <w:rFonts w:ascii="Times New Roman" w:eastAsia="Calibri" w:hAnsi="Times New Roman" w:cs="Times New Roman"/>
          <w:sz w:val="24"/>
          <w:szCs w:val="24"/>
        </w:rPr>
        <w:t xml:space="preserve"> </w:t>
      </w:r>
      <w:r w:rsidR="00600FC3" w:rsidRPr="0044579C">
        <w:rPr>
          <w:rFonts w:ascii="Times New Roman" w:eastAsia="Calibri" w:hAnsi="Times New Roman" w:cs="Times New Roman"/>
          <w:sz w:val="24"/>
          <w:szCs w:val="24"/>
        </w:rPr>
        <w:t xml:space="preserve">čine </w:t>
      </w:r>
      <w:r w:rsidRPr="0044579C">
        <w:rPr>
          <w:rFonts w:ascii="Times New Roman" w:eastAsia="Calibri" w:hAnsi="Times New Roman" w:cs="Times New Roman"/>
          <w:sz w:val="24"/>
          <w:szCs w:val="24"/>
        </w:rPr>
        <w:t xml:space="preserve">12,8 % ukupnih prihoda i primitaka. </w:t>
      </w:r>
    </w:p>
    <w:p w:rsidR="00587A1C" w:rsidRPr="0044579C" w:rsidRDefault="00587A1C" w:rsidP="00296BB6">
      <w:pPr>
        <w:spacing w:after="0" w:line="276" w:lineRule="auto"/>
        <w:jc w:val="both"/>
        <w:rPr>
          <w:rFonts w:ascii="Times New Roman" w:eastAsia="Calibri" w:hAnsi="Times New Roman" w:cs="Times New Roman"/>
          <w:b/>
          <w:sz w:val="24"/>
          <w:szCs w:val="24"/>
        </w:rPr>
      </w:pPr>
    </w:p>
    <w:p w:rsidR="007C34EE" w:rsidRPr="00B65096" w:rsidRDefault="004468CE" w:rsidP="00CA57F9">
      <w:pPr>
        <w:spacing w:after="0" w:line="276" w:lineRule="auto"/>
        <w:jc w:val="both"/>
        <w:rPr>
          <w:rFonts w:ascii="Times New Roman" w:eastAsia="Calibri" w:hAnsi="Times New Roman" w:cs="Times New Roman"/>
          <w:sz w:val="24"/>
          <w:szCs w:val="24"/>
        </w:rPr>
      </w:pPr>
      <w:r w:rsidRPr="00B65096">
        <w:rPr>
          <w:rFonts w:ascii="Times New Roman" w:eastAsia="Calibri" w:hAnsi="Times New Roman" w:cs="Times New Roman"/>
          <w:bCs/>
          <w:i/>
          <w:iCs/>
          <w:sz w:val="24"/>
          <w:szCs w:val="24"/>
        </w:rPr>
        <w:t>Prihodi od poreza</w:t>
      </w:r>
      <w:r w:rsidRPr="00B65096">
        <w:rPr>
          <w:rFonts w:ascii="Times New Roman" w:eastAsia="Calibri" w:hAnsi="Times New Roman" w:cs="Times New Roman"/>
          <w:sz w:val="24"/>
          <w:szCs w:val="24"/>
        </w:rPr>
        <w:t xml:space="preserve"> </w:t>
      </w:r>
      <w:r w:rsidR="007C34EE" w:rsidRPr="00B65096">
        <w:rPr>
          <w:rFonts w:ascii="Times New Roman" w:eastAsia="Calibri" w:hAnsi="Times New Roman" w:cs="Times New Roman"/>
          <w:sz w:val="24"/>
          <w:szCs w:val="24"/>
        </w:rPr>
        <w:t xml:space="preserve">– u </w:t>
      </w:r>
      <w:r w:rsidR="00296BB6" w:rsidRPr="00B65096">
        <w:rPr>
          <w:rFonts w:ascii="Times New Roman" w:eastAsia="Calibri" w:hAnsi="Times New Roman" w:cs="Times New Roman"/>
          <w:sz w:val="24"/>
          <w:szCs w:val="24"/>
        </w:rPr>
        <w:t>odnosu na prethodnu godinu u vrijednosno značajnijim iznosima povećani su prihodi od poreza za 20.477.384 kn</w:t>
      </w:r>
      <w:r w:rsidR="00646A22" w:rsidRPr="00B65096">
        <w:rPr>
          <w:rFonts w:ascii="Times New Roman" w:eastAsia="Calibri" w:hAnsi="Times New Roman" w:cs="Times New Roman"/>
          <w:sz w:val="24"/>
          <w:szCs w:val="24"/>
        </w:rPr>
        <w:t xml:space="preserve">, </w:t>
      </w:r>
      <w:r w:rsidR="00296BB6" w:rsidRPr="00B65096">
        <w:rPr>
          <w:rFonts w:ascii="Times New Roman" w:eastAsia="Calibri" w:hAnsi="Times New Roman" w:cs="Times New Roman"/>
          <w:sz w:val="24"/>
          <w:szCs w:val="24"/>
        </w:rPr>
        <w:t>najvećim dijelom zbog promjene propisa kojima je uređeno financiranje jedinica lokalne i područne (regionalne) samouprave.</w:t>
      </w:r>
      <w:r w:rsidR="00646A22" w:rsidRPr="00B65096">
        <w:rPr>
          <w:rFonts w:ascii="Times New Roman" w:eastAsia="Calibri" w:hAnsi="Times New Roman" w:cs="Times New Roman"/>
          <w:sz w:val="24"/>
          <w:szCs w:val="24"/>
        </w:rPr>
        <w:t xml:space="preserve"> N</w:t>
      </w:r>
      <w:r w:rsidR="00362799" w:rsidRPr="00B65096">
        <w:rPr>
          <w:rFonts w:ascii="Times New Roman" w:eastAsia="Calibri" w:hAnsi="Times New Roman" w:cs="Times New Roman"/>
          <w:sz w:val="24"/>
          <w:szCs w:val="24"/>
        </w:rPr>
        <w:t>ajznačajnij</w:t>
      </w:r>
      <w:r w:rsidR="00646A22" w:rsidRPr="00B65096">
        <w:rPr>
          <w:rFonts w:ascii="Times New Roman" w:eastAsia="Calibri" w:hAnsi="Times New Roman" w:cs="Times New Roman"/>
          <w:sz w:val="24"/>
          <w:szCs w:val="24"/>
        </w:rPr>
        <w:t>a</w:t>
      </w:r>
      <w:r w:rsidR="00362799" w:rsidRPr="00B65096">
        <w:rPr>
          <w:rFonts w:ascii="Times New Roman" w:eastAsia="Calibri" w:hAnsi="Times New Roman" w:cs="Times New Roman"/>
          <w:sz w:val="24"/>
          <w:szCs w:val="24"/>
        </w:rPr>
        <w:t xml:space="preserve"> </w:t>
      </w:r>
      <w:r w:rsidR="00646A22" w:rsidRPr="00B65096">
        <w:rPr>
          <w:rFonts w:ascii="Times New Roman" w:eastAsia="Calibri" w:hAnsi="Times New Roman" w:cs="Times New Roman"/>
          <w:sz w:val="24"/>
          <w:szCs w:val="24"/>
        </w:rPr>
        <w:t xml:space="preserve">povećanja u odnosu na 2017. godinu </w:t>
      </w:r>
      <w:r w:rsidR="00362799" w:rsidRPr="00B65096">
        <w:rPr>
          <w:rFonts w:ascii="Times New Roman" w:eastAsia="Calibri" w:hAnsi="Times New Roman" w:cs="Times New Roman"/>
          <w:sz w:val="24"/>
          <w:szCs w:val="24"/>
        </w:rPr>
        <w:t>u</w:t>
      </w:r>
      <w:r w:rsidR="00646A22" w:rsidRPr="00B65096">
        <w:rPr>
          <w:rFonts w:ascii="Times New Roman" w:eastAsia="Calibri" w:hAnsi="Times New Roman" w:cs="Times New Roman"/>
          <w:sz w:val="24"/>
          <w:szCs w:val="24"/>
        </w:rPr>
        <w:t xml:space="preserve"> </w:t>
      </w:r>
      <w:r w:rsidR="00362799" w:rsidRPr="00B65096">
        <w:rPr>
          <w:rFonts w:ascii="Times New Roman" w:eastAsia="Calibri" w:hAnsi="Times New Roman" w:cs="Times New Roman"/>
          <w:sz w:val="24"/>
          <w:szCs w:val="24"/>
        </w:rPr>
        <w:t>ovoj skupini prihod</w:t>
      </w:r>
      <w:r w:rsidR="00646A22" w:rsidRPr="00B65096">
        <w:rPr>
          <w:rFonts w:ascii="Times New Roman" w:eastAsia="Calibri" w:hAnsi="Times New Roman" w:cs="Times New Roman"/>
          <w:sz w:val="24"/>
          <w:szCs w:val="24"/>
        </w:rPr>
        <w:t xml:space="preserve">a bilježe prihodi </w:t>
      </w:r>
      <w:r w:rsidR="00362799" w:rsidRPr="00B65096">
        <w:rPr>
          <w:rFonts w:ascii="Times New Roman" w:eastAsia="Calibri" w:hAnsi="Times New Roman" w:cs="Times New Roman"/>
          <w:sz w:val="24"/>
          <w:szCs w:val="24"/>
        </w:rPr>
        <w:t xml:space="preserve">od </w:t>
      </w:r>
      <w:r w:rsidRPr="00B65096">
        <w:rPr>
          <w:rFonts w:ascii="Times New Roman" w:eastAsia="Calibri" w:hAnsi="Times New Roman" w:cs="Times New Roman"/>
          <w:sz w:val="24"/>
          <w:szCs w:val="24"/>
        </w:rPr>
        <w:t>porez</w:t>
      </w:r>
      <w:r w:rsidR="00362799" w:rsidRPr="00B65096">
        <w:rPr>
          <w:rFonts w:ascii="Times New Roman" w:eastAsia="Calibri" w:hAnsi="Times New Roman" w:cs="Times New Roman"/>
          <w:sz w:val="24"/>
          <w:szCs w:val="24"/>
        </w:rPr>
        <w:t>a</w:t>
      </w:r>
      <w:r w:rsidRPr="00B65096">
        <w:rPr>
          <w:rFonts w:ascii="Times New Roman" w:eastAsia="Calibri" w:hAnsi="Times New Roman" w:cs="Times New Roman"/>
          <w:sz w:val="24"/>
          <w:szCs w:val="24"/>
        </w:rPr>
        <w:t xml:space="preserve"> i prirez</w:t>
      </w:r>
      <w:r w:rsidR="00646A22" w:rsidRPr="00B65096">
        <w:rPr>
          <w:rFonts w:ascii="Times New Roman" w:eastAsia="Calibri" w:hAnsi="Times New Roman" w:cs="Times New Roman"/>
          <w:sz w:val="24"/>
          <w:szCs w:val="24"/>
        </w:rPr>
        <w:t>a</w:t>
      </w:r>
      <w:r w:rsidRPr="00B65096">
        <w:rPr>
          <w:rFonts w:ascii="Times New Roman" w:eastAsia="Calibri" w:hAnsi="Times New Roman" w:cs="Times New Roman"/>
          <w:sz w:val="24"/>
          <w:szCs w:val="24"/>
        </w:rPr>
        <w:t xml:space="preserve"> na dohodak</w:t>
      </w:r>
      <w:r w:rsidR="00BA0A8C" w:rsidRPr="00B65096">
        <w:rPr>
          <w:rFonts w:ascii="Times New Roman" w:eastAsia="Calibri" w:hAnsi="Times New Roman" w:cs="Times New Roman"/>
          <w:sz w:val="24"/>
          <w:szCs w:val="24"/>
        </w:rPr>
        <w:t xml:space="preserve"> </w:t>
      </w:r>
      <w:r w:rsidR="00E8070A" w:rsidRPr="00B65096">
        <w:rPr>
          <w:rFonts w:ascii="Times New Roman" w:eastAsia="Calibri" w:hAnsi="Times New Roman" w:cs="Times New Roman"/>
          <w:sz w:val="24"/>
          <w:szCs w:val="24"/>
        </w:rPr>
        <w:t xml:space="preserve">i to </w:t>
      </w:r>
      <w:r w:rsidR="00646A22" w:rsidRPr="00B65096">
        <w:rPr>
          <w:rFonts w:ascii="Times New Roman" w:eastAsia="Calibri" w:hAnsi="Times New Roman" w:cs="Times New Roman"/>
          <w:sz w:val="24"/>
          <w:szCs w:val="24"/>
        </w:rPr>
        <w:t>za</w:t>
      </w:r>
      <w:r w:rsidR="00E8070A" w:rsidRPr="00B65096">
        <w:rPr>
          <w:rFonts w:ascii="Times New Roman" w:eastAsia="Calibri" w:hAnsi="Times New Roman" w:cs="Times New Roman"/>
          <w:sz w:val="24"/>
          <w:szCs w:val="24"/>
        </w:rPr>
        <w:t xml:space="preserve"> 11.183.859 kn te prihodi od poreza na promet nekretnina za 9.410.791 kn.</w:t>
      </w:r>
      <w:r w:rsidR="00213115" w:rsidRPr="00B65096">
        <w:rPr>
          <w:rFonts w:ascii="Times New Roman" w:eastAsia="Calibri" w:hAnsi="Times New Roman" w:cs="Times New Roman"/>
          <w:sz w:val="24"/>
          <w:szCs w:val="24"/>
        </w:rPr>
        <w:t xml:space="preserve"> </w:t>
      </w:r>
      <w:r w:rsidRPr="00B65096">
        <w:rPr>
          <w:rFonts w:ascii="Times New Roman" w:eastAsia="Calibri" w:hAnsi="Times New Roman" w:cs="Times New Roman"/>
          <w:sz w:val="24"/>
          <w:szCs w:val="24"/>
        </w:rPr>
        <w:t xml:space="preserve">Od mjera fiskalnog izravnanja ukupno je </w:t>
      </w:r>
      <w:r w:rsidR="007913C9" w:rsidRPr="00B65096">
        <w:rPr>
          <w:rFonts w:ascii="Times New Roman" w:eastAsia="Calibri" w:hAnsi="Times New Roman" w:cs="Times New Roman"/>
          <w:sz w:val="24"/>
          <w:szCs w:val="24"/>
        </w:rPr>
        <w:t>ostvareno</w:t>
      </w:r>
      <w:r w:rsidRPr="00B65096">
        <w:rPr>
          <w:rFonts w:ascii="Times New Roman" w:eastAsia="Calibri" w:hAnsi="Times New Roman" w:cs="Times New Roman"/>
          <w:sz w:val="24"/>
          <w:szCs w:val="24"/>
        </w:rPr>
        <w:t xml:space="preserve"> 2.573.577 kn</w:t>
      </w:r>
      <w:r w:rsidR="00D32723" w:rsidRPr="00B65096">
        <w:rPr>
          <w:rFonts w:ascii="Times New Roman" w:eastAsia="Calibri" w:hAnsi="Times New Roman" w:cs="Times New Roman"/>
          <w:sz w:val="24"/>
          <w:szCs w:val="24"/>
        </w:rPr>
        <w:t xml:space="preserve"> kojih u 2017. godini nije bilo</w:t>
      </w:r>
      <w:r w:rsidR="001C388C" w:rsidRPr="00B65096">
        <w:rPr>
          <w:rFonts w:ascii="Times New Roman" w:eastAsia="Times New Roman" w:hAnsi="Times New Roman" w:cs="Times New Roman"/>
          <w:color w:val="000000"/>
          <w:sz w:val="24"/>
          <w:szCs w:val="24"/>
          <w:lang w:eastAsia="hr-HR"/>
        </w:rPr>
        <w:t>.</w:t>
      </w:r>
      <w:r w:rsidR="00B324AD" w:rsidRPr="00B65096">
        <w:rPr>
          <w:rFonts w:ascii="Times New Roman" w:eastAsia="Calibri" w:hAnsi="Times New Roman" w:cs="Times New Roman"/>
          <w:sz w:val="24"/>
          <w:szCs w:val="24"/>
        </w:rPr>
        <w:t xml:space="preserve"> </w:t>
      </w:r>
    </w:p>
    <w:p w:rsidR="00CA57F9" w:rsidRPr="00B65096" w:rsidRDefault="00CA57F9" w:rsidP="00CA57F9">
      <w:pPr>
        <w:spacing w:after="0" w:line="276" w:lineRule="auto"/>
        <w:jc w:val="both"/>
        <w:rPr>
          <w:rFonts w:ascii="Times New Roman" w:eastAsia="Calibri" w:hAnsi="Times New Roman" w:cs="Times New Roman"/>
          <w:sz w:val="24"/>
          <w:szCs w:val="24"/>
        </w:rPr>
      </w:pPr>
    </w:p>
    <w:p w:rsidR="00587A1C" w:rsidRPr="00B65096" w:rsidRDefault="00315955" w:rsidP="00CA57F9">
      <w:pPr>
        <w:spacing w:after="0" w:line="276" w:lineRule="auto"/>
        <w:jc w:val="both"/>
        <w:rPr>
          <w:rFonts w:ascii="Times New Roman" w:eastAsia="Calibri" w:hAnsi="Times New Roman" w:cs="Times New Roman"/>
          <w:sz w:val="24"/>
          <w:szCs w:val="24"/>
        </w:rPr>
      </w:pPr>
      <w:r w:rsidRPr="00B65096">
        <w:rPr>
          <w:rFonts w:ascii="Times New Roman" w:eastAsia="Calibri" w:hAnsi="Times New Roman" w:cs="Times New Roman"/>
          <w:i/>
          <w:iCs/>
          <w:sz w:val="24"/>
          <w:szCs w:val="24"/>
        </w:rPr>
        <w:t>Prihodi od pomoći iz inozemstva i od subjekata unutar općeg proračuna</w:t>
      </w:r>
      <w:r w:rsidRPr="00B65096">
        <w:rPr>
          <w:rFonts w:ascii="Times New Roman" w:eastAsia="Calibri" w:hAnsi="Times New Roman" w:cs="Times New Roman"/>
          <w:sz w:val="24"/>
          <w:szCs w:val="24"/>
        </w:rPr>
        <w:t xml:space="preserve"> </w:t>
      </w:r>
      <w:r w:rsidR="007C34EE" w:rsidRPr="00B65096">
        <w:rPr>
          <w:rFonts w:ascii="Times New Roman" w:eastAsia="Calibri" w:hAnsi="Times New Roman" w:cs="Times New Roman"/>
          <w:sz w:val="24"/>
          <w:szCs w:val="24"/>
        </w:rPr>
        <w:t xml:space="preserve">- </w:t>
      </w:r>
      <w:r w:rsidR="005D6D91" w:rsidRPr="00B65096">
        <w:rPr>
          <w:rFonts w:ascii="Times New Roman" w:eastAsia="Calibri" w:hAnsi="Times New Roman" w:cs="Times New Roman"/>
          <w:sz w:val="24"/>
          <w:szCs w:val="24"/>
        </w:rPr>
        <w:t xml:space="preserve">ukupno </w:t>
      </w:r>
      <w:r w:rsidR="007C34EE" w:rsidRPr="00B65096">
        <w:rPr>
          <w:rFonts w:ascii="Times New Roman" w:eastAsia="Calibri" w:hAnsi="Times New Roman" w:cs="Times New Roman"/>
          <w:sz w:val="24"/>
          <w:szCs w:val="24"/>
        </w:rPr>
        <w:t xml:space="preserve">su </w:t>
      </w:r>
      <w:r w:rsidR="002D566F" w:rsidRPr="00B65096">
        <w:rPr>
          <w:rFonts w:ascii="Times New Roman" w:eastAsia="Calibri" w:hAnsi="Times New Roman" w:cs="Times New Roman"/>
          <w:sz w:val="24"/>
          <w:szCs w:val="24"/>
        </w:rPr>
        <w:t>ostvareni za</w:t>
      </w:r>
      <w:r w:rsidR="005D6D91" w:rsidRPr="00B65096">
        <w:rPr>
          <w:rFonts w:ascii="Times New Roman" w:eastAsia="Calibri" w:hAnsi="Times New Roman" w:cs="Times New Roman"/>
          <w:sz w:val="24"/>
          <w:szCs w:val="24"/>
        </w:rPr>
        <w:t xml:space="preserve"> </w:t>
      </w:r>
      <w:r w:rsidR="002D566F" w:rsidRPr="00B65096">
        <w:rPr>
          <w:rFonts w:ascii="Times New Roman" w:eastAsia="Calibri" w:hAnsi="Times New Roman" w:cs="Times New Roman"/>
          <w:sz w:val="24"/>
          <w:szCs w:val="24"/>
        </w:rPr>
        <w:t>2.659.796 kn manje u odnosu na 2017. godinu zbog doznačenih sredstava od strane Hrvatskog zavoda za zapošljavanje u sklopu Programa javnih redova.</w:t>
      </w:r>
      <w:r w:rsidR="0016182A" w:rsidRPr="00B65096">
        <w:rPr>
          <w:rFonts w:ascii="Times New Roman" w:eastAsia="Calibri" w:hAnsi="Times New Roman" w:cs="Times New Roman"/>
          <w:sz w:val="24"/>
          <w:szCs w:val="24"/>
        </w:rPr>
        <w:t xml:space="preserve"> </w:t>
      </w:r>
      <w:r w:rsidR="004911BC" w:rsidRPr="00B65096">
        <w:rPr>
          <w:rFonts w:ascii="Times New Roman" w:eastAsia="Calibri" w:hAnsi="Times New Roman" w:cs="Times New Roman"/>
          <w:sz w:val="24"/>
          <w:szCs w:val="24"/>
        </w:rPr>
        <w:t>Pomoći iz državnog proračuna temeljem prijenosa sredstava Europske unije su ostvarene za 2.684.879 kn više, što je</w:t>
      </w:r>
      <w:r w:rsidR="00094A54" w:rsidRPr="00B65096">
        <w:rPr>
          <w:rFonts w:ascii="Times New Roman" w:eastAsia="Calibri" w:hAnsi="Times New Roman" w:cs="Times New Roman"/>
          <w:sz w:val="24"/>
          <w:szCs w:val="24"/>
        </w:rPr>
        <w:t xml:space="preserve"> </w:t>
      </w:r>
      <w:r w:rsidR="004911BC" w:rsidRPr="00B65096">
        <w:rPr>
          <w:rFonts w:ascii="Times New Roman" w:eastAsia="Calibri" w:hAnsi="Times New Roman" w:cs="Times New Roman"/>
          <w:sz w:val="24"/>
          <w:szCs w:val="24"/>
        </w:rPr>
        <w:t>ujedno dokaz sve veće orijentiranosti na vanjske izvore financiranja</w:t>
      </w:r>
      <w:r w:rsidR="0016182A" w:rsidRPr="00B65096">
        <w:rPr>
          <w:rFonts w:ascii="Times New Roman" w:eastAsia="Calibri" w:hAnsi="Times New Roman" w:cs="Times New Roman"/>
          <w:sz w:val="24"/>
          <w:szCs w:val="24"/>
        </w:rPr>
        <w:t>, a samim time</w:t>
      </w:r>
      <w:r w:rsidR="00094A54" w:rsidRPr="00B65096">
        <w:rPr>
          <w:rFonts w:ascii="Times New Roman" w:eastAsia="Calibri" w:hAnsi="Times New Roman" w:cs="Times New Roman"/>
          <w:sz w:val="24"/>
          <w:szCs w:val="24"/>
        </w:rPr>
        <w:t xml:space="preserve"> na </w:t>
      </w:r>
      <w:r w:rsidR="0016182A" w:rsidRPr="00B65096">
        <w:rPr>
          <w:rFonts w:ascii="Times New Roman" w:eastAsia="Calibri" w:hAnsi="Times New Roman" w:cs="Times New Roman"/>
          <w:sz w:val="24"/>
          <w:szCs w:val="24"/>
        </w:rPr>
        <w:t xml:space="preserve"> smanjivanj</w:t>
      </w:r>
      <w:r w:rsidR="00094A54" w:rsidRPr="00B65096">
        <w:rPr>
          <w:rFonts w:ascii="Times New Roman" w:eastAsia="Calibri" w:hAnsi="Times New Roman" w:cs="Times New Roman"/>
          <w:sz w:val="24"/>
          <w:szCs w:val="24"/>
        </w:rPr>
        <w:t>e</w:t>
      </w:r>
      <w:r w:rsidR="0016182A" w:rsidRPr="00B65096">
        <w:rPr>
          <w:rFonts w:ascii="Times New Roman" w:eastAsia="Calibri" w:hAnsi="Times New Roman" w:cs="Times New Roman"/>
          <w:sz w:val="24"/>
          <w:szCs w:val="24"/>
        </w:rPr>
        <w:t xml:space="preserve"> financiranja </w:t>
      </w:r>
      <w:r w:rsidR="00213115" w:rsidRPr="00B65096">
        <w:rPr>
          <w:rFonts w:ascii="Times New Roman" w:eastAsia="Calibri" w:hAnsi="Times New Roman" w:cs="Times New Roman"/>
          <w:sz w:val="24"/>
          <w:szCs w:val="24"/>
        </w:rPr>
        <w:t xml:space="preserve">troškova </w:t>
      </w:r>
      <w:r w:rsidR="0016182A" w:rsidRPr="00B65096">
        <w:rPr>
          <w:rFonts w:ascii="Times New Roman" w:eastAsia="Calibri" w:hAnsi="Times New Roman" w:cs="Times New Roman"/>
          <w:sz w:val="24"/>
          <w:szCs w:val="24"/>
        </w:rPr>
        <w:t>iz izvora općih prihoda i primitaka.</w:t>
      </w:r>
    </w:p>
    <w:p w:rsidR="00CA57F9" w:rsidRPr="00B65096" w:rsidRDefault="00CA57F9" w:rsidP="00CA57F9">
      <w:pPr>
        <w:spacing w:after="0" w:line="276" w:lineRule="auto"/>
        <w:jc w:val="both"/>
        <w:rPr>
          <w:rFonts w:ascii="Times New Roman" w:eastAsia="Calibri" w:hAnsi="Times New Roman" w:cs="Times New Roman"/>
          <w:sz w:val="24"/>
          <w:szCs w:val="24"/>
        </w:rPr>
      </w:pPr>
    </w:p>
    <w:p w:rsidR="004B6ECB" w:rsidRPr="00B65096" w:rsidRDefault="00315955" w:rsidP="004B6ECB">
      <w:pPr>
        <w:jc w:val="both"/>
        <w:rPr>
          <w:rFonts w:ascii="Times New Roman" w:eastAsia="Times New Roman" w:hAnsi="Times New Roman" w:cs="Times New Roman"/>
          <w:iCs/>
          <w:sz w:val="24"/>
          <w:szCs w:val="24"/>
        </w:rPr>
      </w:pPr>
      <w:r w:rsidRPr="00B65096">
        <w:rPr>
          <w:rFonts w:ascii="Times New Roman" w:eastAsia="Calibri" w:hAnsi="Times New Roman" w:cs="Times New Roman"/>
          <w:i/>
          <w:iCs/>
          <w:sz w:val="24"/>
          <w:szCs w:val="24"/>
        </w:rPr>
        <w:t xml:space="preserve"> Prihodi od imovine</w:t>
      </w:r>
      <w:r w:rsidR="007C34EE" w:rsidRPr="00B65096">
        <w:rPr>
          <w:rFonts w:ascii="Times New Roman" w:eastAsia="Calibri" w:hAnsi="Times New Roman" w:cs="Times New Roman"/>
          <w:i/>
          <w:iCs/>
          <w:sz w:val="24"/>
          <w:szCs w:val="24"/>
        </w:rPr>
        <w:t xml:space="preserve"> -</w:t>
      </w:r>
      <w:r w:rsidR="007C34EE" w:rsidRPr="00B65096">
        <w:rPr>
          <w:rFonts w:ascii="Times New Roman" w:eastAsia="Calibri" w:hAnsi="Times New Roman" w:cs="Times New Roman"/>
          <w:sz w:val="24"/>
          <w:szCs w:val="24"/>
        </w:rPr>
        <w:t xml:space="preserve"> n</w:t>
      </w:r>
      <w:r w:rsidR="0023543B" w:rsidRPr="00B65096">
        <w:rPr>
          <w:rFonts w:ascii="Times New Roman" w:eastAsia="Calibri" w:hAnsi="Times New Roman" w:cs="Times New Roman"/>
          <w:sz w:val="24"/>
          <w:szCs w:val="24"/>
        </w:rPr>
        <w:t>ajznačajnij</w:t>
      </w:r>
      <w:r w:rsidR="00F7542C" w:rsidRPr="00B65096">
        <w:rPr>
          <w:rFonts w:ascii="Times New Roman" w:eastAsia="Calibri" w:hAnsi="Times New Roman" w:cs="Times New Roman"/>
          <w:sz w:val="24"/>
          <w:szCs w:val="24"/>
        </w:rPr>
        <w:t>e povećanje</w:t>
      </w:r>
      <w:r w:rsidR="0023543B" w:rsidRPr="00B65096">
        <w:rPr>
          <w:rFonts w:ascii="Times New Roman" w:eastAsia="Calibri" w:hAnsi="Times New Roman" w:cs="Times New Roman"/>
          <w:sz w:val="24"/>
          <w:szCs w:val="24"/>
        </w:rPr>
        <w:t xml:space="preserve"> u ovoj skupini prihoda </w:t>
      </w:r>
      <w:r w:rsidR="00F7542C" w:rsidRPr="00B65096">
        <w:rPr>
          <w:rFonts w:ascii="Times New Roman" w:eastAsia="Calibri" w:hAnsi="Times New Roman" w:cs="Times New Roman"/>
          <w:sz w:val="24"/>
          <w:szCs w:val="24"/>
        </w:rPr>
        <w:t>bilježe</w:t>
      </w:r>
      <w:r w:rsidR="0023543B" w:rsidRPr="00B65096">
        <w:rPr>
          <w:rFonts w:ascii="Times New Roman" w:eastAsia="Calibri" w:hAnsi="Times New Roman" w:cs="Times New Roman"/>
          <w:sz w:val="24"/>
          <w:szCs w:val="24"/>
        </w:rPr>
        <w:t xml:space="preserve"> prihodi od zateznih kamata ostvareni</w:t>
      </w:r>
      <w:r w:rsidR="0023543B" w:rsidRPr="00B65096">
        <w:rPr>
          <w:rFonts w:ascii="Times New Roman" w:eastAsia="Times New Roman" w:hAnsi="Times New Roman" w:cs="Times New Roman"/>
          <w:iCs/>
          <w:sz w:val="24"/>
          <w:szCs w:val="24"/>
        </w:rPr>
        <w:t xml:space="preserve"> temeljem sudskih presuda u korist Grada i obračunatih kamata proizašlih iz obveznih odnosa</w:t>
      </w:r>
      <w:r w:rsidR="004911BC" w:rsidRPr="00B65096">
        <w:rPr>
          <w:rFonts w:ascii="Times New Roman" w:eastAsia="Times New Roman" w:hAnsi="Times New Roman" w:cs="Times New Roman"/>
          <w:iCs/>
          <w:sz w:val="24"/>
          <w:szCs w:val="24"/>
        </w:rPr>
        <w:t xml:space="preserve">, te su u odnosu na 2017. godinu povećani za 1.572.604 kn, što je dokaz </w:t>
      </w:r>
      <w:r w:rsidR="00E1142D" w:rsidRPr="00B65096">
        <w:rPr>
          <w:rFonts w:ascii="Times New Roman" w:eastAsia="Calibri" w:hAnsi="Times New Roman" w:cs="Times New Roman"/>
          <w:sz w:val="24"/>
          <w:szCs w:val="24"/>
        </w:rPr>
        <w:t>praćenja naplate prihoda i provođenja više mjera prisilne naplate</w:t>
      </w:r>
      <w:r w:rsidR="00221D89" w:rsidRPr="00B65096">
        <w:rPr>
          <w:rFonts w:ascii="Times New Roman" w:eastAsia="Times New Roman" w:hAnsi="Times New Roman" w:cs="Times New Roman"/>
          <w:iCs/>
          <w:sz w:val="24"/>
          <w:szCs w:val="24"/>
        </w:rPr>
        <w:t xml:space="preserve">. </w:t>
      </w:r>
    </w:p>
    <w:p w:rsidR="004F7B9C" w:rsidRPr="00B65096" w:rsidRDefault="00315955" w:rsidP="004B6ECB">
      <w:pPr>
        <w:spacing w:after="0" w:line="276" w:lineRule="auto"/>
        <w:jc w:val="both"/>
        <w:rPr>
          <w:rFonts w:ascii="Times New Roman" w:eastAsia="Calibri" w:hAnsi="Times New Roman" w:cs="Times New Roman"/>
          <w:sz w:val="24"/>
          <w:szCs w:val="24"/>
        </w:rPr>
      </w:pPr>
      <w:r w:rsidRPr="00B65096">
        <w:rPr>
          <w:rFonts w:ascii="Times New Roman" w:eastAsia="Calibri" w:hAnsi="Times New Roman" w:cs="Times New Roman"/>
          <w:i/>
          <w:iCs/>
          <w:sz w:val="24"/>
          <w:szCs w:val="24"/>
        </w:rPr>
        <w:t xml:space="preserve">Prihodi od upravnih i administrativnih pristojbi, pristojbi po posebnim propisima i naknada </w:t>
      </w:r>
      <w:r w:rsidR="007C34EE" w:rsidRPr="00B65096">
        <w:rPr>
          <w:rFonts w:ascii="Times New Roman" w:eastAsia="Calibri" w:hAnsi="Times New Roman" w:cs="Times New Roman"/>
          <w:i/>
          <w:iCs/>
          <w:sz w:val="24"/>
          <w:szCs w:val="24"/>
        </w:rPr>
        <w:t>-</w:t>
      </w:r>
      <w:r w:rsidR="007C34EE" w:rsidRPr="00B65096">
        <w:rPr>
          <w:rFonts w:ascii="Times New Roman" w:eastAsia="Calibri" w:hAnsi="Times New Roman" w:cs="Times New Roman"/>
          <w:sz w:val="24"/>
          <w:szCs w:val="24"/>
        </w:rPr>
        <w:t xml:space="preserve"> v</w:t>
      </w:r>
      <w:r w:rsidR="00023B13" w:rsidRPr="00B65096">
        <w:rPr>
          <w:rFonts w:ascii="Times New Roman" w:eastAsia="Calibri" w:hAnsi="Times New Roman" w:cs="Times New Roman"/>
          <w:sz w:val="24"/>
          <w:szCs w:val="24"/>
        </w:rPr>
        <w:t xml:space="preserve">rijednosno najznačajniji u ovoj podskupini prihoda </w:t>
      </w:r>
      <w:r w:rsidR="004B16AC" w:rsidRPr="00B65096">
        <w:rPr>
          <w:rFonts w:ascii="Times New Roman" w:eastAsia="Calibri" w:hAnsi="Times New Roman" w:cs="Times New Roman"/>
          <w:sz w:val="24"/>
          <w:szCs w:val="24"/>
        </w:rPr>
        <w:t xml:space="preserve">su </w:t>
      </w:r>
      <w:r w:rsidR="00023B13" w:rsidRPr="00B65096">
        <w:rPr>
          <w:rFonts w:ascii="Times New Roman" w:eastAsia="Calibri" w:hAnsi="Times New Roman" w:cs="Times New Roman"/>
          <w:sz w:val="24"/>
          <w:szCs w:val="24"/>
        </w:rPr>
        <w:t>prihod</w:t>
      </w:r>
      <w:r w:rsidR="004B16AC" w:rsidRPr="00B65096">
        <w:rPr>
          <w:rFonts w:ascii="Times New Roman" w:eastAsia="Calibri" w:hAnsi="Times New Roman" w:cs="Times New Roman"/>
          <w:sz w:val="24"/>
          <w:szCs w:val="24"/>
        </w:rPr>
        <w:t>i</w:t>
      </w:r>
      <w:r w:rsidR="00023B13" w:rsidRPr="00B65096">
        <w:rPr>
          <w:rFonts w:ascii="Times New Roman" w:eastAsia="Calibri" w:hAnsi="Times New Roman" w:cs="Times New Roman"/>
          <w:sz w:val="24"/>
          <w:szCs w:val="24"/>
        </w:rPr>
        <w:t xml:space="preserve"> od komunalne naknade </w:t>
      </w:r>
      <w:r w:rsidR="004B16AC" w:rsidRPr="00B65096">
        <w:rPr>
          <w:rFonts w:ascii="Times New Roman" w:eastAsia="Calibri" w:hAnsi="Times New Roman" w:cs="Times New Roman"/>
          <w:sz w:val="24"/>
          <w:szCs w:val="24"/>
        </w:rPr>
        <w:t>i komunalnog doprinosa, te su u 2018. godini ostvareni za 5.719.978 kn</w:t>
      </w:r>
      <w:r w:rsidR="003A3C93" w:rsidRPr="00B65096">
        <w:rPr>
          <w:rFonts w:ascii="Times New Roman" w:eastAsia="Calibri" w:hAnsi="Times New Roman" w:cs="Times New Roman"/>
          <w:sz w:val="24"/>
          <w:szCs w:val="24"/>
        </w:rPr>
        <w:t xml:space="preserve"> manje</w:t>
      </w:r>
      <w:r w:rsidR="004B16AC" w:rsidRPr="00B65096">
        <w:rPr>
          <w:rFonts w:ascii="Times New Roman" w:eastAsia="Calibri" w:hAnsi="Times New Roman" w:cs="Times New Roman"/>
          <w:sz w:val="24"/>
          <w:szCs w:val="24"/>
        </w:rPr>
        <w:t xml:space="preserve">. </w:t>
      </w:r>
      <w:r w:rsidR="003A3C93" w:rsidRPr="00B65096">
        <w:rPr>
          <w:rFonts w:ascii="Times New Roman" w:eastAsia="Calibri" w:hAnsi="Times New Roman" w:cs="Times New Roman"/>
          <w:sz w:val="24"/>
          <w:szCs w:val="24"/>
        </w:rPr>
        <w:t xml:space="preserve">Međutim, zbog uvođenja GIS sustava koji će omogućiti detektiranje nezaduženih objekata i samim time izdavanje novih rješenja o zaduženju, u 2020. godini se </w:t>
      </w:r>
      <w:r w:rsidR="00E46B59" w:rsidRPr="00B65096">
        <w:rPr>
          <w:rFonts w:ascii="Times New Roman" w:eastAsia="Calibri" w:hAnsi="Times New Roman" w:cs="Times New Roman"/>
          <w:sz w:val="24"/>
          <w:szCs w:val="24"/>
        </w:rPr>
        <w:t>očekuje veće ostvarenje prihoda od komunalne naknade.</w:t>
      </w:r>
    </w:p>
    <w:p w:rsidR="00CA57F9" w:rsidRPr="00B65096" w:rsidRDefault="00CA57F9" w:rsidP="00CA57F9">
      <w:pPr>
        <w:spacing w:after="0" w:line="276" w:lineRule="auto"/>
        <w:jc w:val="both"/>
        <w:rPr>
          <w:rFonts w:ascii="Times New Roman" w:eastAsia="Calibri" w:hAnsi="Times New Roman" w:cs="Times New Roman"/>
          <w:sz w:val="24"/>
          <w:szCs w:val="24"/>
        </w:rPr>
      </w:pPr>
    </w:p>
    <w:p w:rsidR="004468CE" w:rsidRPr="00B65096" w:rsidRDefault="00315955" w:rsidP="007C34EE">
      <w:pPr>
        <w:spacing w:after="0" w:line="276" w:lineRule="auto"/>
        <w:jc w:val="both"/>
        <w:rPr>
          <w:rFonts w:ascii="Times New Roman" w:eastAsia="Calibri" w:hAnsi="Times New Roman" w:cs="Times New Roman"/>
          <w:sz w:val="24"/>
          <w:szCs w:val="24"/>
        </w:rPr>
      </w:pPr>
      <w:r w:rsidRPr="00B65096">
        <w:rPr>
          <w:rFonts w:ascii="Times New Roman" w:eastAsia="Calibri" w:hAnsi="Times New Roman" w:cs="Times New Roman"/>
          <w:i/>
          <w:iCs/>
          <w:sz w:val="24"/>
          <w:szCs w:val="24"/>
        </w:rPr>
        <w:t>Prihodi od prodaje proizvoda i robe te pruženih usluga i donacija</w:t>
      </w:r>
      <w:r w:rsidR="007C34EE" w:rsidRPr="00B65096">
        <w:rPr>
          <w:rFonts w:ascii="Times New Roman" w:eastAsia="Calibri" w:hAnsi="Times New Roman" w:cs="Times New Roman"/>
          <w:i/>
          <w:iCs/>
          <w:sz w:val="24"/>
          <w:szCs w:val="24"/>
        </w:rPr>
        <w:t xml:space="preserve"> -</w:t>
      </w:r>
      <w:r w:rsidR="007C34EE" w:rsidRPr="00B65096">
        <w:rPr>
          <w:rFonts w:ascii="Times New Roman" w:eastAsia="Calibri" w:hAnsi="Times New Roman" w:cs="Times New Roman"/>
          <w:sz w:val="24"/>
          <w:szCs w:val="24"/>
        </w:rPr>
        <w:t xml:space="preserve"> u</w:t>
      </w:r>
      <w:r w:rsidRPr="00B65096">
        <w:rPr>
          <w:rFonts w:ascii="Times New Roman" w:eastAsia="Calibri" w:hAnsi="Times New Roman" w:cs="Times New Roman"/>
          <w:sz w:val="24"/>
          <w:szCs w:val="24"/>
        </w:rPr>
        <w:t xml:space="preserve"> vrijednosno značajnijim iznosima odnose se na prihode od usluga obračuna i naplate naknade za uređenje voda, te prodaje stanova na kojima je postojalo stanarsko pravo</w:t>
      </w:r>
      <w:r w:rsidR="00126791" w:rsidRPr="00B65096">
        <w:rPr>
          <w:rFonts w:ascii="Times New Roman" w:eastAsia="Calibri" w:hAnsi="Times New Roman" w:cs="Times New Roman"/>
          <w:sz w:val="24"/>
          <w:szCs w:val="24"/>
        </w:rPr>
        <w:t xml:space="preserve"> </w:t>
      </w:r>
      <w:r w:rsidRPr="00B65096">
        <w:rPr>
          <w:rFonts w:ascii="Times New Roman" w:eastAsia="Calibri" w:hAnsi="Times New Roman" w:cs="Times New Roman"/>
          <w:sz w:val="24"/>
          <w:szCs w:val="24"/>
        </w:rPr>
        <w:t xml:space="preserve">za pravne osobe u čije ime i za čiji račun </w:t>
      </w:r>
      <w:r w:rsidR="00126791" w:rsidRPr="00B65096">
        <w:rPr>
          <w:rFonts w:ascii="Times New Roman" w:eastAsia="Calibri" w:hAnsi="Times New Roman" w:cs="Times New Roman"/>
          <w:sz w:val="24"/>
          <w:szCs w:val="24"/>
        </w:rPr>
        <w:t xml:space="preserve">Grad </w:t>
      </w:r>
      <w:r w:rsidRPr="00B65096">
        <w:rPr>
          <w:rFonts w:ascii="Times New Roman" w:eastAsia="Calibri" w:hAnsi="Times New Roman" w:cs="Times New Roman"/>
          <w:sz w:val="24"/>
          <w:szCs w:val="24"/>
        </w:rPr>
        <w:t>prodaje navedene stanove</w:t>
      </w:r>
      <w:r w:rsidR="00552FE9" w:rsidRPr="00B65096">
        <w:rPr>
          <w:rFonts w:ascii="Times New Roman" w:eastAsia="Calibri" w:hAnsi="Times New Roman" w:cs="Times New Roman"/>
          <w:sz w:val="24"/>
          <w:szCs w:val="24"/>
        </w:rPr>
        <w:t>. Ostvarenje je na približno jednakoj razini u odnosu na 2017. godinu.</w:t>
      </w:r>
    </w:p>
    <w:p w:rsidR="00F7490F" w:rsidRPr="00B65096" w:rsidRDefault="00F7490F" w:rsidP="0080233D">
      <w:pPr>
        <w:spacing w:after="0" w:line="276" w:lineRule="auto"/>
        <w:jc w:val="both"/>
        <w:rPr>
          <w:rFonts w:ascii="Times New Roman" w:eastAsia="Calibri" w:hAnsi="Times New Roman" w:cs="Times New Roman"/>
          <w:sz w:val="24"/>
          <w:szCs w:val="24"/>
        </w:rPr>
      </w:pPr>
    </w:p>
    <w:p w:rsidR="004421A5" w:rsidRPr="00B65096" w:rsidRDefault="00315955" w:rsidP="007C34EE">
      <w:pPr>
        <w:spacing w:after="0" w:line="276" w:lineRule="auto"/>
        <w:jc w:val="both"/>
        <w:rPr>
          <w:rFonts w:ascii="Times New Roman" w:eastAsia="Calibri" w:hAnsi="Times New Roman" w:cs="Times New Roman"/>
          <w:b/>
          <w:bCs/>
          <w:sz w:val="24"/>
          <w:szCs w:val="24"/>
        </w:rPr>
      </w:pPr>
      <w:r w:rsidRPr="00B65096">
        <w:rPr>
          <w:rFonts w:ascii="Times New Roman" w:eastAsia="Calibri" w:hAnsi="Times New Roman" w:cs="Times New Roman"/>
          <w:i/>
          <w:iCs/>
          <w:sz w:val="24"/>
          <w:szCs w:val="24"/>
        </w:rPr>
        <w:t>Prihodi od kazni, upravnih mjera i ostali prihodi</w:t>
      </w:r>
      <w:r w:rsidR="007C34EE" w:rsidRPr="00B65096">
        <w:rPr>
          <w:rFonts w:ascii="Times New Roman" w:eastAsia="Calibri" w:hAnsi="Times New Roman" w:cs="Times New Roman"/>
          <w:b/>
          <w:bCs/>
          <w:sz w:val="24"/>
          <w:szCs w:val="24"/>
        </w:rPr>
        <w:t xml:space="preserve"> - </w:t>
      </w:r>
      <w:r w:rsidR="007C34EE" w:rsidRPr="00B65096">
        <w:rPr>
          <w:rFonts w:ascii="Times New Roman" w:eastAsia="Calibri" w:hAnsi="Times New Roman" w:cs="Times New Roman"/>
          <w:sz w:val="24"/>
          <w:szCs w:val="24"/>
        </w:rPr>
        <w:t>o</w:t>
      </w:r>
      <w:r w:rsidRPr="00B65096">
        <w:rPr>
          <w:rFonts w:ascii="Times New Roman" w:eastAsia="Calibri" w:hAnsi="Times New Roman" w:cs="Times New Roman"/>
          <w:sz w:val="24"/>
          <w:szCs w:val="24"/>
        </w:rPr>
        <w:t xml:space="preserve">stvareni su </w:t>
      </w:r>
      <w:r w:rsidR="002511F2" w:rsidRPr="00B65096">
        <w:rPr>
          <w:rFonts w:ascii="Times New Roman" w:eastAsia="Calibri" w:hAnsi="Times New Roman" w:cs="Times New Roman"/>
          <w:sz w:val="24"/>
          <w:szCs w:val="24"/>
        </w:rPr>
        <w:t>za 1.904.482 kn više u odnosu na 2017. godinu</w:t>
      </w:r>
      <w:r w:rsidRPr="00B65096">
        <w:rPr>
          <w:rFonts w:ascii="Times New Roman" w:eastAsia="Calibri" w:hAnsi="Times New Roman" w:cs="Times New Roman"/>
          <w:sz w:val="24"/>
          <w:szCs w:val="24"/>
        </w:rPr>
        <w:t>, a u vrijednosno značajnij</w:t>
      </w:r>
      <w:r w:rsidR="00A81826" w:rsidRPr="00B65096">
        <w:rPr>
          <w:rFonts w:ascii="Times New Roman" w:eastAsia="Calibri" w:hAnsi="Times New Roman" w:cs="Times New Roman"/>
          <w:sz w:val="24"/>
          <w:szCs w:val="24"/>
        </w:rPr>
        <w:t>em</w:t>
      </w:r>
      <w:r w:rsidRPr="00B65096">
        <w:rPr>
          <w:rFonts w:ascii="Times New Roman" w:eastAsia="Calibri" w:hAnsi="Times New Roman" w:cs="Times New Roman"/>
          <w:sz w:val="24"/>
          <w:szCs w:val="24"/>
        </w:rPr>
        <w:t xml:space="preserve"> iznos</w:t>
      </w:r>
      <w:r w:rsidR="00A81826" w:rsidRPr="00B65096">
        <w:rPr>
          <w:rFonts w:ascii="Times New Roman" w:eastAsia="Calibri" w:hAnsi="Times New Roman" w:cs="Times New Roman"/>
          <w:sz w:val="24"/>
          <w:szCs w:val="24"/>
        </w:rPr>
        <w:t>u</w:t>
      </w:r>
      <w:r w:rsidRPr="00B65096">
        <w:rPr>
          <w:rFonts w:ascii="Times New Roman" w:eastAsia="Calibri" w:hAnsi="Times New Roman" w:cs="Times New Roman"/>
          <w:sz w:val="24"/>
          <w:szCs w:val="24"/>
        </w:rPr>
        <w:t xml:space="preserve"> odnose se na prihode na temelju sudske presude za refundaciju dijela sredstava za izgradnju komunalne infrastrukture za potrebe trgovačkog centra</w:t>
      </w:r>
      <w:r w:rsidR="00A81826" w:rsidRPr="00B65096">
        <w:rPr>
          <w:rFonts w:ascii="Times New Roman" w:eastAsia="Calibri" w:hAnsi="Times New Roman" w:cs="Times New Roman"/>
          <w:sz w:val="24"/>
          <w:szCs w:val="24"/>
        </w:rPr>
        <w:t>. P</w:t>
      </w:r>
      <w:r w:rsidRPr="00B65096">
        <w:rPr>
          <w:rFonts w:ascii="Times New Roman" w:eastAsia="Calibri" w:hAnsi="Times New Roman" w:cs="Times New Roman"/>
          <w:sz w:val="24"/>
          <w:szCs w:val="24"/>
        </w:rPr>
        <w:t>rihod</w:t>
      </w:r>
      <w:r w:rsidR="00A81826" w:rsidRPr="00B65096">
        <w:rPr>
          <w:rFonts w:ascii="Times New Roman" w:eastAsia="Calibri" w:hAnsi="Times New Roman" w:cs="Times New Roman"/>
          <w:sz w:val="24"/>
          <w:szCs w:val="24"/>
        </w:rPr>
        <w:t>i</w:t>
      </w:r>
      <w:r w:rsidRPr="00B65096">
        <w:rPr>
          <w:rFonts w:ascii="Times New Roman" w:eastAsia="Calibri" w:hAnsi="Times New Roman" w:cs="Times New Roman"/>
          <w:sz w:val="24"/>
          <w:szCs w:val="24"/>
        </w:rPr>
        <w:t xml:space="preserve"> za kazne za prometne i ostale prekršaje </w:t>
      </w:r>
      <w:r w:rsidR="00A81826" w:rsidRPr="00B65096">
        <w:rPr>
          <w:rFonts w:ascii="Times New Roman" w:eastAsia="Calibri" w:hAnsi="Times New Roman" w:cs="Times New Roman"/>
          <w:sz w:val="24"/>
          <w:szCs w:val="24"/>
        </w:rPr>
        <w:t xml:space="preserve">bilježe veće ostvarenje </w:t>
      </w:r>
      <w:r w:rsidR="00E957CD" w:rsidRPr="00B65096">
        <w:rPr>
          <w:rFonts w:ascii="Times New Roman" w:eastAsia="Calibri" w:hAnsi="Times New Roman" w:cs="Times New Roman"/>
          <w:sz w:val="24"/>
          <w:szCs w:val="24"/>
        </w:rPr>
        <w:t xml:space="preserve">u 2018. godini </w:t>
      </w:r>
      <w:r w:rsidR="00A81826" w:rsidRPr="00B65096">
        <w:rPr>
          <w:rFonts w:ascii="Times New Roman" w:eastAsia="Calibri" w:hAnsi="Times New Roman" w:cs="Times New Roman"/>
          <w:sz w:val="24"/>
          <w:szCs w:val="24"/>
        </w:rPr>
        <w:t xml:space="preserve">za 376.041 kn. </w:t>
      </w:r>
    </w:p>
    <w:p w:rsidR="004421A5" w:rsidRPr="00B65096" w:rsidRDefault="004421A5" w:rsidP="0080233D">
      <w:pPr>
        <w:spacing w:after="0" w:line="276" w:lineRule="auto"/>
        <w:jc w:val="both"/>
        <w:rPr>
          <w:rFonts w:ascii="Times New Roman" w:eastAsia="Calibri" w:hAnsi="Times New Roman" w:cs="Times New Roman"/>
          <w:sz w:val="24"/>
          <w:szCs w:val="24"/>
        </w:rPr>
      </w:pPr>
    </w:p>
    <w:p w:rsidR="007C34EE" w:rsidRPr="00B65096" w:rsidRDefault="005E3E18" w:rsidP="00DD5C80">
      <w:pPr>
        <w:spacing w:after="0" w:line="276" w:lineRule="auto"/>
        <w:jc w:val="both"/>
        <w:rPr>
          <w:rFonts w:ascii="Times New Roman" w:eastAsia="Calibri" w:hAnsi="Times New Roman" w:cs="Times New Roman"/>
          <w:sz w:val="24"/>
          <w:szCs w:val="24"/>
        </w:rPr>
      </w:pPr>
      <w:r w:rsidRPr="00B65096">
        <w:rPr>
          <w:rFonts w:ascii="Times New Roman" w:eastAsia="Calibri" w:hAnsi="Times New Roman" w:cs="Times New Roman"/>
          <w:i/>
          <w:iCs/>
          <w:sz w:val="24"/>
          <w:szCs w:val="24"/>
        </w:rPr>
        <w:t>P</w:t>
      </w:r>
      <w:r w:rsidR="00315955" w:rsidRPr="00B65096">
        <w:rPr>
          <w:rFonts w:ascii="Times New Roman" w:eastAsia="Calibri" w:hAnsi="Times New Roman" w:cs="Times New Roman"/>
          <w:i/>
          <w:iCs/>
          <w:sz w:val="24"/>
          <w:szCs w:val="24"/>
        </w:rPr>
        <w:t>rihodi od prodaje nefinancijske imovine</w:t>
      </w:r>
      <w:r w:rsidR="00315955" w:rsidRPr="00B65096">
        <w:rPr>
          <w:rFonts w:ascii="Times New Roman" w:eastAsia="Calibri" w:hAnsi="Times New Roman" w:cs="Times New Roman"/>
          <w:sz w:val="24"/>
          <w:szCs w:val="24"/>
        </w:rPr>
        <w:t xml:space="preserve"> </w:t>
      </w:r>
      <w:r w:rsidR="007C34EE" w:rsidRPr="00B65096">
        <w:rPr>
          <w:rFonts w:ascii="Times New Roman" w:eastAsia="Calibri" w:hAnsi="Times New Roman" w:cs="Times New Roman"/>
          <w:sz w:val="24"/>
          <w:szCs w:val="24"/>
        </w:rPr>
        <w:t xml:space="preserve">– ostvareni su </w:t>
      </w:r>
      <w:r w:rsidR="00E300DB" w:rsidRPr="00B65096">
        <w:rPr>
          <w:rFonts w:ascii="Times New Roman" w:eastAsia="Calibri" w:hAnsi="Times New Roman" w:cs="Times New Roman"/>
          <w:sz w:val="24"/>
          <w:szCs w:val="24"/>
        </w:rPr>
        <w:t xml:space="preserve">za 1.773.395 kn više zbog većeg ostvarenja prihoda od prodaje zemljišta te čine </w:t>
      </w:r>
      <w:r w:rsidR="00E300DB" w:rsidRPr="00B65096">
        <w:rPr>
          <w:rFonts w:ascii="Times New Roman" w:eastAsia="Calibri" w:hAnsi="Times New Roman" w:cs="Times New Roman"/>
          <w:color w:val="000000" w:themeColor="text1"/>
          <w:sz w:val="24"/>
          <w:szCs w:val="24"/>
        </w:rPr>
        <w:t>66,16</w:t>
      </w:r>
      <w:r w:rsidR="007579C3" w:rsidRPr="00B65096">
        <w:rPr>
          <w:rFonts w:ascii="Times New Roman" w:eastAsia="Calibri" w:hAnsi="Times New Roman" w:cs="Times New Roman"/>
          <w:color w:val="000000" w:themeColor="text1"/>
          <w:sz w:val="24"/>
          <w:szCs w:val="24"/>
        </w:rPr>
        <w:t xml:space="preserve">% </w:t>
      </w:r>
      <w:r w:rsidR="007579C3" w:rsidRPr="00B65096">
        <w:rPr>
          <w:rFonts w:ascii="Times New Roman" w:eastAsia="Calibri" w:hAnsi="Times New Roman" w:cs="Times New Roman"/>
          <w:sz w:val="24"/>
          <w:szCs w:val="24"/>
        </w:rPr>
        <w:t>ukupnog ostvarenja i vrijednosno su najznačajniji u ovoj podskupini</w:t>
      </w:r>
      <w:r w:rsidR="00DD5C80" w:rsidRPr="00B65096">
        <w:rPr>
          <w:rFonts w:ascii="Times New Roman" w:eastAsia="Calibri" w:hAnsi="Times New Roman" w:cs="Times New Roman"/>
          <w:sz w:val="24"/>
          <w:szCs w:val="24"/>
        </w:rPr>
        <w:t>.</w:t>
      </w:r>
      <w:r w:rsidR="0058219B" w:rsidRPr="00B65096">
        <w:rPr>
          <w:rFonts w:ascii="Times New Roman" w:eastAsia="Calibri" w:hAnsi="Times New Roman" w:cs="Times New Roman"/>
          <w:sz w:val="24"/>
          <w:szCs w:val="24"/>
        </w:rPr>
        <w:t xml:space="preserve"> </w:t>
      </w:r>
    </w:p>
    <w:p w:rsidR="004468CE" w:rsidRPr="00B65096" w:rsidRDefault="004468CE" w:rsidP="0080233D">
      <w:pPr>
        <w:spacing w:after="0" w:line="276" w:lineRule="auto"/>
        <w:jc w:val="both"/>
        <w:rPr>
          <w:rFonts w:ascii="Times New Roman" w:eastAsia="Calibri" w:hAnsi="Times New Roman" w:cs="Times New Roman"/>
          <w:sz w:val="24"/>
          <w:szCs w:val="24"/>
        </w:rPr>
      </w:pPr>
    </w:p>
    <w:p w:rsidR="004421A5" w:rsidRPr="00B65096" w:rsidRDefault="00315955" w:rsidP="0080233D">
      <w:pPr>
        <w:spacing w:after="0" w:line="276" w:lineRule="auto"/>
        <w:jc w:val="both"/>
        <w:rPr>
          <w:rFonts w:ascii="Times New Roman" w:eastAsia="Calibri" w:hAnsi="Times New Roman" w:cs="Times New Roman"/>
          <w:sz w:val="24"/>
          <w:szCs w:val="24"/>
        </w:rPr>
      </w:pPr>
      <w:r w:rsidRPr="00B65096">
        <w:rPr>
          <w:rFonts w:ascii="Times New Roman" w:eastAsia="Calibri" w:hAnsi="Times New Roman" w:cs="Times New Roman"/>
          <w:sz w:val="24"/>
          <w:szCs w:val="24"/>
        </w:rPr>
        <w:t xml:space="preserve"> </w:t>
      </w:r>
      <w:r w:rsidRPr="00B65096">
        <w:rPr>
          <w:rFonts w:ascii="Times New Roman" w:eastAsia="Calibri" w:hAnsi="Times New Roman" w:cs="Times New Roman"/>
          <w:i/>
          <w:iCs/>
          <w:sz w:val="24"/>
          <w:szCs w:val="24"/>
        </w:rPr>
        <w:t>Primici od financijske imovine i zaduživanj</w:t>
      </w:r>
      <w:r w:rsidR="007C34EE" w:rsidRPr="00B65096">
        <w:rPr>
          <w:rFonts w:ascii="Times New Roman" w:eastAsia="Calibri" w:hAnsi="Times New Roman" w:cs="Times New Roman"/>
          <w:i/>
          <w:iCs/>
          <w:sz w:val="24"/>
          <w:szCs w:val="24"/>
        </w:rPr>
        <w:t>a</w:t>
      </w:r>
      <w:r w:rsidR="007C34EE" w:rsidRPr="00B65096">
        <w:rPr>
          <w:rFonts w:ascii="Times New Roman" w:eastAsia="Calibri" w:hAnsi="Times New Roman" w:cs="Times New Roman"/>
          <w:b/>
          <w:bCs/>
          <w:sz w:val="24"/>
          <w:szCs w:val="24"/>
        </w:rPr>
        <w:t xml:space="preserve"> - </w:t>
      </w:r>
      <w:r w:rsidR="003F51FC" w:rsidRPr="00B65096">
        <w:rPr>
          <w:rFonts w:ascii="Times New Roman" w:eastAsia="Calibri" w:hAnsi="Times New Roman" w:cs="Times New Roman"/>
          <w:sz w:val="24"/>
          <w:szCs w:val="24"/>
        </w:rPr>
        <w:t>o</w:t>
      </w:r>
      <w:r w:rsidR="002D39F9" w:rsidRPr="00B65096">
        <w:rPr>
          <w:rFonts w:ascii="Times New Roman" w:eastAsia="Calibri" w:hAnsi="Times New Roman" w:cs="Times New Roman"/>
          <w:sz w:val="24"/>
          <w:szCs w:val="24"/>
        </w:rPr>
        <w:t xml:space="preserve">stvarenje je manje za 4.185.540 kn u odnosu na 2017. godinu, zbog manje primljenih zajmova po </w:t>
      </w:r>
      <w:proofErr w:type="spellStart"/>
      <w:r w:rsidR="002D39F9" w:rsidRPr="00B65096">
        <w:rPr>
          <w:rFonts w:ascii="Times New Roman" w:eastAsia="Calibri" w:hAnsi="Times New Roman" w:cs="Times New Roman"/>
          <w:sz w:val="24"/>
          <w:szCs w:val="24"/>
        </w:rPr>
        <w:t>faktoringu</w:t>
      </w:r>
      <w:proofErr w:type="spellEnd"/>
      <w:r w:rsidR="002D39F9" w:rsidRPr="00B65096">
        <w:rPr>
          <w:rFonts w:ascii="Times New Roman" w:eastAsia="Calibri" w:hAnsi="Times New Roman" w:cs="Times New Roman"/>
          <w:sz w:val="24"/>
          <w:szCs w:val="24"/>
        </w:rPr>
        <w:t xml:space="preserve"> </w:t>
      </w:r>
      <w:r w:rsidR="0058219B" w:rsidRPr="00B65096">
        <w:rPr>
          <w:rFonts w:ascii="Times New Roman" w:eastAsia="Calibri" w:hAnsi="Times New Roman" w:cs="Times New Roman"/>
          <w:sz w:val="24"/>
          <w:szCs w:val="24"/>
        </w:rPr>
        <w:t>što je ujedno dokaz povećane likvidnosti sredstava.</w:t>
      </w:r>
    </w:p>
    <w:p w:rsidR="0058219B" w:rsidRPr="00B65096" w:rsidRDefault="0058219B" w:rsidP="0080233D">
      <w:pPr>
        <w:spacing w:after="0" w:line="276" w:lineRule="auto"/>
        <w:jc w:val="both"/>
        <w:rPr>
          <w:rFonts w:ascii="Times New Roman" w:eastAsia="Calibri" w:hAnsi="Times New Roman" w:cs="Times New Roman"/>
          <w:sz w:val="24"/>
          <w:szCs w:val="24"/>
        </w:rPr>
      </w:pPr>
    </w:p>
    <w:p w:rsidR="00DD5C80" w:rsidRPr="00B65096" w:rsidRDefault="00DD5C80" w:rsidP="0080233D">
      <w:pPr>
        <w:spacing w:after="0" w:line="276" w:lineRule="auto"/>
        <w:jc w:val="both"/>
        <w:rPr>
          <w:rFonts w:ascii="Times New Roman" w:eastAsia="Calibri" w:hAnsi="Times New Roman" w:cs="Times New Roman"/>
          <w:b/>
          <w:bCs/>
          <w:sz w:val="24"/>
          <w:szCs w:val="24"/>
        </w:rPr>
      </w:pPr>
    </w:p>
    <w:p w:rsidR="0080604E" w:rsidRPr="00B65096" w:rsidRDefault="0080604E" w:rsidP="0080233D">
      <w:pPr>
        <w:spacing w:after="0" w:line="276" w:lineRule="auto"/>
        <w:jc w:val="both"/>
        <w:rPr>
          <w:rFonts w:ascii="Times New Roman" w:eastAsia="Calibri" w:hAnsi="Times New Roman" w:cs="Times New Roman"/>
          <w:b/>
          <w:bCs/>
          <w:sz w:val="24"/>
          <w:szCs w:val="24"/>
        </w:rPr>
      </w:pPr>
      <w:r w:rsidRPr="00B65096">
        <w:rPr>
          <w:rFonts w:ascii="Times New Roman" w:eastAsia="Calibri" w:hAnsi="Times New Roman" w:cs="Times New Roman"/>
          <w:b/>
          <w:bCs/>
          <w:sz w:val="24"/>
          <w:szCs w:val="24"/>
        </w:rPr>
        <w:t xml:space="preserve">Izvještaj o rashodima i izdacima </w:t>
      </w:r>
    </w:p>
    <w:p w:rsidR="00522354" w:rsidRPr="00B65096" w:rsidRDefault="00522354" w:rsidP="0080233D">
      <w:pPr>
        <w:spacing w:after="0" w:line="276" w:lineRule="auto"/>
        <w:jc w:val="both"/>
        <w:rPr>
          <w:rFonts w:ascii="Times New Roman" w:eastAsia="Calibri" w:hAnsi="Times New Roman" w:cs="Times New Roman"/>
          <w:sz w:val="24"/>
          <w:szCs w:val="24"/>
        </w:rPr>
      </w:pPr>
    </w:p>
    <w:p w:rsidR="00522354" w:rsidRPr="00B65096" w:rsidRDefault="00522354" w:rsidP="00634FEB">
      <w:pPr>
        <w:pStyle w:val="Tijeloteksta3"/>
        <w:ind w:firstLine="708"/>
        <w:jc w:val="both"/>
        <w:rPr>
          <w:rFonts w:eastAsia="Calibri"/>
          <w:sz w:val="24"/>
          <w:szCs w:val="24"/>
          <w:lang w:val="hr-HR"/>
        </w:rPr>
      </w:pPr>
      <w:r w:rsidRPr="00B65096">
        <w:rPr>
          <w:rFonts w:eastAsia="Calibri"/>
          <w:sz w:val="24"/>
          <w:szCs w:val="24"/>
          <w:lang w:val="hr-HR"/>
        </w:rPr>
        <w:lastRenderedPageBreak/>
        <w:t>Ukupni rashodi i izdaci su ostvareni u iznosu od  186.614.443 kn što je za 2.143.301 kn manje u odnosu na 2017. godinu.</w:t>
      </w:r>
      <w:r w:rsidR="00484814" w:rsidRPr="00B65096">
        <w:rPr>
          <w:rFonts w:eastAsia="Calibri"/>
          <w:sz w:val="24"/>
          <w:szCs w:val="24"/>
          <w:lang w:val="hr-HR"/>
        </w:rPr>
        <w:t xml:space="preserve"> U tablici u nastavku se daju podaci o ostvarenim rashodima i izdacima u 2017. i 2018. godini.</w:t>
      </w:r>
    </w:p>
    <w:p w:rsidR="00F14C9A" w:rsidRPr="00B65096" w:rsidRDefault="00F14C9A" w:rsidP="0080233D">
      <w:pPr>
        <w:spacing w:after="0" w:line="276" w:lineRule="auto"/>
        <w:jc w:val="both"/>
        <w:rPr>
          <w:rFonts w:ascii="Times New Roman" w:eastAsia="Calibri" w:hAnsi="Times New Roman" w:cs="Times New Roman"/>
          <w:b/>
          <w:bCs/>
          <w:sz w:val="24"/>
          <w:szCs w:val="24"/>
        </w:rPr>
      </w:pPr>
    </w:p>
    <w:tbl>
      <w:tblPr>
        <w:tblpPr w:leftFromText="180" w:rightFromText="180" w:vertAnchor="text" w:horzAnchor="margin" w:tblpXSpec="center" w:tblpY="171"/>
        <w:tblW w:w="8354" w:type="dxa"/>
        <w:tblLook w:val="04A0" w:firstRow="1" w:lastRow="0" w:firstColumn="1" w:lastColumn="0" w:noHBand="0" w:noVBand="1"/>
      </w:tblPr>
      <w:tblGrid>
        <w:gridCol w:w="5120"/>
        <w:gridCol w:w="1617"/>
        <w:gridCol w:w="1617"/>
      </w:tblGrid>
      <w:tr w:rsidR="0080233D" w:rsidRPr="00B65096" w:rsidTr="0080233D">
        <w:trPr>
          <w:trHeight w:val="585"/>
        </w:trPr>
        <w:tc>
          <w:tcPr>
            <w:tcW w:w="5120"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80233D" w:rsidRPr="00B65096" w:rsidRDefault="0080233D" w:rsidP="0080233D">
            <w:pPr>
              <w:spacing w:after="0" w:line="240" w:lineRule="auto"/>
              <w:jc w:val="center"/>
              <w:rPr>
                <w:rFonts w:ascii="Times New Roman" w:eastAsia="Times New Roman" w:hAnsi="Times New Roman" w:cs="Times New Roman"/>
                <w:b/>
                <w:bCs/>
                <w:color w:val="000000"/>
                <w:lang w:eastAsia="hr-HR"/>
              </w:rPr>
            </w:pPr>
            <w:r w:rsidRPr="00B65096">
              <w:rPr>
                <w:rFonts w:ascii="Times New Roman" w:eastAsia="Times New Roman" w:hAnsi="Times New Roman" w:cs="Times New Roman"/>
                <w:b/>
                <w:bCs/>
                <w:color w:val="000000"/>
                <w:lang w:eastAsia="hr-HR"/>
              </w:rPr>
              <w:t>Opis</w:t>
            </w:r>
          </w:p>
        </w:tc>
        <w:tc>
          <w:tcPr>
            <w:tcW w:w="1617" w:type="dxa"/>
            <w:tcBorders>
              <w:top w:val="single" w:sz="4" w:space="0" w:color="auto"/>
              <w:left w:val="nil"/>
              <w:bottom w:val="single" w:sz="4" w:space="0" w:color="auto"/>
              <w:right w:val="single" w:sz="4" w:space="0" w:color="auto"/>
            </w:tcBorders>
            <w:shd w:val="clear" w:color="000000" w:fill="8EA9DB"/>
            <w:noWrap/>
            <w:vAlign w:val="center"/>
            <w:hideMark/>
          </w:tcPr>
          <w:p w:rsidR="0080233D" w:rsidRPr="00B65096" w:rsidRDefault="0080233D" w:rsidP="004432D7">
            <w:pPr>
              <w:spacing w:after="0" w:line="240" w:lineRule="auto"/>
              <w:jc w:val="center"/>
              <w:rPr>
                <w:rFonts w:ascii="Times New Roman" w:eastAsia="Times New Roman" w:hAnsi="Times New Roman" w:cs="Times New Roman"/>
                <w:b/>
                <w:bCs/>
                <w:color w:val="000000"/>
                <w:lang w:eastAsia="hr-HR"/>
              </w:rPr>
            </w:pPr>
            <w:r w:rsidRPr="00B65096">
              <w:rPr>
                <w:rFonts w:ascii="Times New Roman" w:eastAsia="Times New Roman" w:hAnsi="Times New Roman" w:cs="Times New Roman"/>
                <w:b/>
                <w:bCs/>
                <w:color w:val="000000"/>
                <w:lang w:eastAsia="hr-HR"/>
              </w:rPr>
              <w:t xml:space="preserve">Ostvarenje </w:t>
            </w:r>
            <w:r w:rsidR="004432D7" w:rsidRPr="00B65096">
              <w:rPr>
                <w:rFonts w:ascii="Times New Roman" w:eastAsia="Times New Roman" w:hAnsi="Times New Roman" w:cs="Times New Roman"/>
                <w:b/>
                <w:bCs/>
                <w:color w:val="000000"/>
                <w:lang w:eastAsia="hr-HR"/>
              </w:rPr>
              <w:t xml:space="preserve"> </w:t>
            </w:r>
            <w:r w:rsidRPr="00B65096">
              <w:rPr>
                <w:rFonts w:ascii="Times New Roman" w:eastAsia="Times New Roman" w:hAnsi="Times New Roman" w:cs="Times New Roman"/>
                <w:b/>
                <w:bCs/>
                <w:color w:val="000000"/>
                <w:lang w:eastAsia="hr-HR"/>
              </w:rPr>
              <w:t>2017</w:t>
            </w:r>
          </w:p>
        </w:tc>
        <w:tc>
          <w:tcPr>
            <w:tcW w:w="1617" w:type="dxa"/>
            <w:tcBorders>
              <w:top w:val="single" w:sz="4" w:space="0" w:color="auto"/>
              <w:left w:val="nil"/>
              <w:bottom w:val="single" w:sz="4" w:space="0" w:color="auto"/>
              <w:right w:val="single" w:sz="4" w:space="0" w:color="auto"/>
            </w:tcBorders>
            <w:shd w:val="clear" w:color="000000" w:fill="8EA9DB"/>
            <w:noWrap/>
            <w:vAlign w:val="center"/>
            <w:hideMark/>
          </w:tcPr>
          <w:p w:rsidR="0080233D" w:rsidRPr="00B65096" w:rsidRDefault="0080233D" w:rsidP="004432D7">
            <w:pPr>
              <w:spacing w:after="0" w:line="240" w:lineRule="auto"/>
              <w:jc w:val="center"/>
              <w:rPr>
                <w:rFonts w:ascii="Times New Roman" w:eastAsia="Times New Roman" w:hAnsi="Times New Roman" w:cs="Times New Roman"/>
                <w:b/>
                <w:bCs/>
                <w:color w:val="000000"/>
                <w:lang w:eastAsia="hr-HR"/>
              </w:rPr>
            </w:pPr>
            <w:r w:rsidRPr="00B65096">
              <w:rPr>
                <w:rFonts w:ascii="Times New Roman" w:eastAsia="Times New Roman" w:hAnsi="Times New Roman" w:cs="Times New Roman"/>
                <w:b/>
                <w:bCs/>
                <w:color w:val="000000"/>
                <w:lang w:eastAsia="hr-HR"/>
              </w:rPr>
              <w:t>Ostvarenje 2018</w:t>
            </w:r>
          </w:p>
        </w:tc>
      </w:tr>
      <w:tr w:rsidR="0080233D" w:rsidRPr="00B65096" w:rsidTr="0080233D">
        <w:trPr>
          <w:trHeight w:val="300"/>
        </w:trPr>
        <w:tc>
          <w:tcPr>
            <w:tcW w:w="5120" w:type="dxa"/>
            <w:tcBorders>
              <w:top w:val="nil"/>
              <w:left w:val="single" w:sz="4" w:space="0" w:color="auto"/>
              <w:bottom w:val="single" w:sz="4" w:space="0" w:color="auto"/>
              <w:right w:val="single" w:sz="4" w:space="0" w:color="auto"/>
            </w:tcBorders>
            <w:shd w:val="clear" w:color="000000" w:fill="B4C6E7"/>
            <w:noWrap/>
            <w:vAlign w:val="bottom"/>
            <w:hideMark/>
          </w:tcPr>
          <w:p w:rsidR="0080233D" w:rsidRPr="00B65096" w:rsidRDefault="0080233D" w:rsidP="0080233D">
            <w:pPr>
              <w:spacing w:after="0" w:line="240" w:lineRule="auto"/>
              <w:rPr>
                <w:rFonts w:ascii="Times New Roman" w:eastAsia="Times New Roman" w:hAnsi="Times New Roman" w:cs="Times New Roman"/>
                <w:b/>
                <w:bCs/>
                <w:color w:val="000000"/>
                <w:lang w:eastAsia="hr-HR"/>
              </w:rPr>
            </w:pPr>
            <w:r w:rsidRPr="00B65096">
              <w:rPr>
                <w:rFonts w:ascii="Times New Roman" w:eastAsia="Times New Roman" w:hAnsi="Times New Roman" w:cs="Times New Roman"/>
                <w:b/>
                <w:bCs/>
                <w:color w:val="000000"/>
                <w:lang w:eastAsia="hr-HR"/>
              </w:rPr>
              <w:t>SVEUKUPNO</w:t>
            </w:r>
          </w:p>
        </w:tc>
        <w:tc>
          <w:tcPr>
            <w:tcW w:w="1617" w:type="dxa"/>
            <w:tcBorders>
              <w:top w:val="nil"/>
              <w:left w:val="nil"/>
              <w:bottom w:val="single" w:sz="4" w:space="0" w:color="auto"/>
              <w:right w:val="single" w:sz="4" w:space="0" w:color="auto"/>
            </w:tcBorders>
            <w:shd w:val="clear" w:color="000000" w:fill="B4C6E7"/>
            <w:noWrap/>
            <w:vAlign w:val="bottom"/>
            <w:hideMark/>
          </w:tcPr>
          <w:p w:rsidR="0080233D" w:rsidRPr="00B65096" w:rsidRDefault="003F6C4F" w:rsidP="0080233D">
            <w:pPr>
              <w:spacing w:after="0" w:line="240" w:lineRule="auto"/>
              <w:jc w:val="right"/>
              <w:rPr>
                <w:rFonts w:ascii="Times New Roman" w:eastAsia="Times New Roman" w:hAnsi="Times New Roman" w:cs="Times New Roman"/>
                <w:b/>
                <w:bCs/>
                <w:color w:val="000000"/>
                <w:lang w:eastAsia="hr-HR"/>
              </w:rPr>
            </w:pPr>
            <w:r w:rsidRPr="00B65096">
              <w:rPr>
                <w:rFonts w:ascii="Times New Roman" w:eastAsia="Times New Roman" w:hAnsi="Times New Roman" w:cs="Times New Roman"/>
                <w:b/>
                <w:bCs/>
                <w:color w:val="000000"/>
                <w:lang w:eastAsia="hr-HR"/>
              </w:rPr>
              <w:t>184.471.142,50</w:t>
            </w:r>
          </w:p>
        </w:tc>
        <w:tc>
          <w:tcPr>
            <w:tcW w:w="1617" w:type="dxa"/>
            <w:tcBorders>
              <w:top w:val="nil"/>
              <w:left w:val="nil"/>
              <w:bottom w:val="single" w:sz="4" w:space="0" w:color="auto"/>
              <w:right w:val="single" w:sz="4" w:space="0" w:color="auto"/>
            </w:tcBorders>
            <w:shd w:val="clear" w:color="000000" w:fill="B4C6E7"/>
            <w:noWrap/>
            <w:vAlign w:val="bottom"/>
            <w:hideMark/>
          </w:tcPr>
          <w:p w:rsidR="0080233D" w:rsidRPr="00B65096" w:rsidRDefault="003F6C4F" w:rsidP="0080233D">
            <w:pPr>
              <w:spacing w:after="0" w:line="240" w:lineRule="auto"/>
              <w:jc w:val="right"/>
              <w:rPr>
                <w:rFonts w:ascii="Times New Roman" w:eastAsia="Times New Roman" w:hAnsi="Times New Roman" w:cs="Times New Roman"/>
                <w:b/>
                <w:bCs/>
                <w:color w:val="000000"/>
                <w:lang w:eastAsia="hr-HR"/>
              </w:rPr>
            </w:pPr>
            <w:r w:rsidRPr="00B65096">
              <w:rPr>
                <w:rFonts w:ascii="Times New Roman" w:eastAsia="Times New Roman" w:hAnsi="Times New Roman" w:cs="Times New Roman"/>
                <w:b/>
                <w:bCs/>
                <w:color w:val="000000"/>
                <w:lang w:eastAsia="hr-HR"/>
              </w:rPr>
              <w:t>186.614.443,00</w:t>
            </w:r>
          </w:p>
        </w:tc>
      </w:tr>
      <w:tr w:rsidR="0080233D" w:rsidRPr="00B65096" w:rsidTr="0080233D">
        <w:trPr>
          <w:trHeight w:val="300"/>
        </w:trPr>
        <w:tc>
          <w:tcPr>
            <w:tcW w:w="5120" w:type="dxa"/>
            <w:tcBorders>
              <w:top w:val="nil"/>
              <w:left w:val="single" w:sz="4" w:space="0" w:color="auto"/>
              <w:bottom w:val="single" w:sz="4" w:space="0" w:color="auto"/>
              <w:right w:val="single" w:sz="4" w:space="0" w:color="auto"/>
            </w:tcBorders>
            <w:shd w:val="clear" w:color="000000" w:fill="D9E1F2"/>
            <w:noWrap/>
            <w:vAlign w:val="bottom"/>
            <w:hideMark/>
          </w:tcPr>
          <w:p w:rsidR="0080233D" w:rsidRPr="00B65096" w:rsidRDefault="0080233D" w:rsidP="0080233D">
            <w:pPr>
              <w:spacing w:after="0" w:line="240" w:lineRule="auto"/>
              <w:rPr>
                <w:rFonts w:ascii="Times New Roman" w:eastAsia="Times New Roman" w:hAnsi="Times New Roman" w:cs="Times New Roman"/>
                <w:b/>
                <w:bCs/>
                <w:color w:val="000000"/>
                <w:lang w:eastAsia="hr-HR"/>
              </w:rPr>
            </w:pPr>
            <w:r w:rsidRPr="00B65096">
              <w:rPr>
                <w:rFonts w:ascii="Times New Roman" w:eastAsia="Times New Roman" w:hAnsi="Times New Roman" w:cs="Times New Roman"/>
                <w:b/>
                <w:bCs/>
                <w:color w:val="000000"/>
                <w:lang w:eastAsia="hr-HR"/>
              </w:rPr>
              <w:t>Rashodi poslovanja</w:t>
            </w:r>
          </w:p>
        </w:tc>
        <w:tc>
          <w:tcPr>
            <w:tcW w:w="1617" w:type="dxa"/>
            <w:tcBorders>
              <w:top w:val="nil"/>
              <w:left w:val="nil"/>
              <w:bottom w:val="single" w:sz="4" w:space="0" w:color="auto"/>
              <w:right w:val="single" w:sz="4" w:space="0" w:color="auto"/>
            </w:tcBorders>
            <w:shd w:val="clear" w:color="000000" w:fill="D9E1F2"/>
            <w:noWrap/>
            <w:vAlign w:val="bottom"/>
            <w:hideMark/>
          </w:tcPr>
          <w:p w:rsidR="0080233D" w:rsidRPr="00B65096" w:rsidRDefault="003F6C4F" w:rsidP="0080233D">
            <w:pPr>
              <w:spacing w:after="0" w:line="240" w:lineRule="auto"/>
              <w:jc w:val="right"/>
              <w:rPr>
                <w:rFonts w:ascii="Times New Roman" w:eastAsia="Times New Roman" w:hAnsi="Times New Roman" w:cs="Times New Roman"/>
                <w:b/>
                <w:bCs/>
                <w:color w:val="000000"/>
                <w:lang w:eastAsia="hr-HR"/>
              </w:rPr>
            </w:pPr>
            <w:r w:rsidRPr="00B65096">
              <w:rPr>
                <w:rFonts w:ascii="Times New Roman" w:eastAsia="Times New Roman" w:hAnsi="Times New Roman" w:cs="Times New Roman"/>
                <w:b/>
                <w:bCs/>
                <w:color w:val="000000"/>
                <w:lang w:eastAsia="hr-HR"/>
              </w:rPr>
              <w:t>148.368.410,20</w:t>
            </w:r>
          </w:p>
        </w:tc>
        <w:tc>
          <w:tcPr>
            <w:tcW w:w="1617" w:type="dxa"/>
            <w:tcBorders>
              <w:top w:val="nil"/>
              <w:left w:val="nil"/>
              <w:bottom w:val="single" w:sz="4" w:space="0" w:color="auto"/>
              <w:right w:val="single" w:sz="4" w:space="0" w:color="auto"/>
            </w:tcBorders>
            <w:shd w:val="clear" w:color="000000" w:fill="D9E1F2"/>
            <w:noWrap/>
            <w:vAlign w:val="bottom"/>
            <w:hideMark/>
          </w:tcPr>
          <w:p w:rsidR="0080233D" w:rsidRPr="00B65096" w:rsidRDefault="003F6C4F" w:rsidP="0080233D">
            <w:pPr>
              <w:spacing w:after="0" w:line="240" w:lineRule="auto"/>
              <w:jc w:val="right"/>
              <w:rPr>
                <w:rFonts w:ascii="Times New Roman" w:eastAsia="Times New Roman" w:hAnsi="Times New Roman" w:cs="Times New Roman"/>
                <w:b/>
                <w:bCs/>
                <w:color w:val="000000"/>
                <w:lang w:eastAsia="hr-HR"/>
              </w:rPr>
            </w:pPr>
            <w:r w:rsidRPr="00B65096">
              <w:rPr>
                <w:rFonts w:ascii="Times New Roman" w:eastAsia="Times New Roman" w:hAnsi="Times New Roman" w:cs="Times New Roman"/>
                <w:b/>
                <w:bCs/>
                <w:color w:val="000000"/>
                <w:lang w:eastAsia="hr-HR"/>
              </w:rPr>
              <w:t>154.083.157,60</w:t>
            </w:r>
          </w:p>
        </w:tc>
      </w:tr>
      <w:tr w:rsidR="0080233D" w:rsidRPr="00B65096" w:rsidTr="0080233D">
        <w:trPr>
          <w:trHeight w:val="300"/>
        </w:trPr>
        <w:tc>
          <w:tcPr>
            <w:tcW w:w="5120" w:type="dxa"/>
            <w:tcBorders>
              <w:top w:val="nil"/>
              <w:left w:val="single" w:sz="4" w:space="0" w:color="auto"/>
              <w:bottom w:val="single" w:sz="4" w:space="0" w:color="auto"/>
              <w:right w:val="single" w:sz="4" w:space="0" w:color="auto"/>
            </w:tcBorders>
            <w:shd w:val="clear" w:color="auto" w:fill="auto"/>
            <w:noWrap/>
            <w:vAlign w:val="bottom"/>
            <w:hideMark/>
          </w:tcPr>
          <w:p w:rsidR="0080233D" w:rsidRPr="00B65096" w:rsidRDefault="0080233D" w:rsidP="0080233D">
            <w:pPr>
              <w:spacing w:after="0" w:line="240" w:lineRule="auto"/>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Rashodi za zaposlene</w:t>
            </w:r>
          </w:p>
        </w:tc>
        <w:tc>
          <w:tcPr>
            <w:tcW w:w="1617" w:type="dxa"/>
            <w:tcBorders>
              <w:top w:val="nil"/>
              <w:left w:val="nil"/>
              <w:bottom w:val="single" w:sz="4" w:space="0" w:color="auto"/>
              <w:right w:val="single" w:sz="4" w:space="0" w:color="auto"/>
            </w:tcBorders>
            <w:shd w:val="clear" w:color="auto" w:fill="auto"/>
            <w:noWrap/>
            <w:vAlign w:val="center"/>
            <w:hideMark/>
          </w:tcPr>
          <w:p w:rsidR="0080233D" w:rsidRPr="00B65096" w:rsidRDefault="0080233D" w:rsidP="0080233D">
            <w:pPr>
              <w:spacing w:after="0" w:line="240" w:lineRule="auto"/>
              <w:jc w:val="right"/>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14.510.044,57</w:t>
            </w:r>
          </w:p>
        </w:tc>
        <w:tc>
          <w:tcPr>
            <w:tcW w:w="1617" w:type="dxa"/>
            <w:tcBorders>
              <w:top w:val="nil"/>
              <w:left w:val="nil"/>
              <w:bottom w:val="single" w:sz="4" w:space="0" w:color="auto"/>
              <w:right w:val="single" w:sz="4" w:space="0" w:color="auto"/>
            </w:tcBorders>
            <w:shd w:val="clear" w:color="auto" w:fill="auto"/>
            <w:noWrap/>
            <w:vAlign w:val="center"/>
            <w:hideMark/>
          </w:tcPr>
          <w:p w:rsidR="0080233D" w:rsidRPr="00B65096" w:rsidRDefault="0080233D" w:rsidP="0080233D">
            <w:pPr>
              <w:spacing w:after="0" w:line="240" w:lineRule="auto"/>
              <w:jc w:val="right"/>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17.657.891,63</w:t>
            </w:r>
          </w:p>
        </w:tc>
      </w:tr>
      <w:tr w:rsidR="0080233D" w:rsidRPr="00B65096" w:rsidTr="0080233D">
        <w:trPr>
          <w:trHeight w:val="300"/>
        </w:trPr>
        <w:tc>
          <w:tcPr>
            <w:tcW w:w="5120" w:type="dxa"/>
            <w:tcBorders>
              <w:top w:val="nil"/>
              <w:left w:val="single" w:sz="4" w:space="0" w:color="auto"/>
              <w:bottom w:val="single" w:sz="4" w:space="0" w:color="auto"/>
              <w:right w:val="single" w:sz="4" w:space="0" w:color="auto"/>
            </w:tcBorders>
            <w:shd w:val="clear" w:color="auto" w:fill="auto"/>
            <w:noWrap/>
            <w:vAlign w:val="bottom"/>
            <w:hideMark/>
          </w:tcPr>
          <w:p w:rsidR="0080233D" w:rsidRPr="00B65096" w:rsidRDefault="0080233D" w:rsidP="0080233D">
            <w:pPr>
              <w:spacing w:after="0" w:line="240" w:lineRule="auto"/>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Materijalni rashodi</w:t>
            </w:r>
          </w:p>
        </w:tc>
        <w:tc>
          <w:tcPr>
            <w:tcW w:w="1617" w:type="dxa"/>
            <w:tcBorders>
              <w:top w:val="nil"/>
              <w:left w:val="nil"/>
              <w:bottom w:val="single" w:sz="4" w:space="0" w:color="auto"/>
              <w:right w:val="single" w:sz="4" w:space="0" w:color="auto"/>
            </w:tcBorders>
            <w:shd w:val="clear" w:color="auto" w:fill="auto"/>
            <w:noWrap/>
            <w:vAlign w:val="center"/>
            <w:hideMark/>
          </w:tcPr>
          <w:p w:rsidR="0080233D" w:rsidRPr="00B65096" w:rsidRDefault="0080233D" w:rsidP="0080233D">
            <w:pPr>
              <w:spacing w:after="0" w:line="240" w:lineRule="auto"/>
              <w:jc w:val="right"/>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47.107.178,69</w:t>
            </w:r>
          </w:p>
        </w:tc>
        <w:tc>
          <w:tcPr>
            <w:tcW w:w="1617" w:type="dxa"/>
            <w:tcBorders>
              <w:top w:val="nil"/>
              <w:left w:val="nil"/>
              <w:bottom w:val="single" w:sz="4" w:space="0" w:color="auto"/>
              <w:right w:val="single" w:sz="4" w:space="0" w:color="auto"/>
            </w:tcBorders>
            <w:shd w:val="clear" w:color="auto" w:fill="auto"/>
            <w:noWrap/>
            <w:vAlign w:val="center"/>
            <w:hideMark/>
          </w:tcPr>
          <w:p w:rsidR="0080233D" w:rsidRPr="00B65096" w:rsidRDefault="0080233D" w:rsidP="0080233D">
            <w:pPr>
              <w:spacing w:after="0" w:line="240" w:lineRule="auto"/>
              <w:jc w:val="right"/>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45.690.193,46</w:t>
            </w:r>
          </w:p>
        </w:tc>
      </w:tr>
      <w:tr w:rsidR="0080233D" w:rsidRPr="00B65096" w:rsidTr="0080233D">
        <w:trPr>
          <w:trHeight w:val="300"/>
        </w:trPr>
        <w:tc>
          <w:tcPr>
            <w:tcW w:w="5120" w:type="dxa"/>
            <w:tcBorders>
              <w:top w:val="nil"/>
              <w:left w:val="single" w:sz="4" w:space="0" w:color="auto"/>
              <w:bottom w:val="single" w:sz="4" w:space="0" w:color="auto"/>
              <w:right w:val="single" w:sz="4" w:space="0" w:color="auto"/>
            </w:tcBorders>
            <w:shd w:val="clear" w:color="auto" w:fill="auto"/>
            <w:noWrap/>
            <w:vAlign w:val="bottom"/>
            <w:hideMark/>
          </w:tcPr>
          <w:p w:rsidR="0080233D" w:rsidRPr="00B65096" w:rsidRDefault="0080233D" w:rsidP="0080233D">
            <w:pPr>
              <w:spacing w:after="0" w:line="240" w:lineRule="auto"/>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Financijski rashodi</w:t>
            </w:r>
          </w:p>
        </w:tc>
        <w:tc>
          <w:tcPr>
            <w:tcW w:w="1617" w:type="dxa"/>
            <w:tcBorders>
              <w:top w:val="nil"/>
              <w:left w:val="nil"/>
              <w:bottom w:val="single" w:sz="4" w:space="0" w:color="auto"/>
              <w:right w:val="single" w:sz="4" w:space="0" w:color="auto"/>
            </w:tcBorders>
            <w:shd w:val="clear" w:color="auto" w:fill="auto"/>
            <w:noWrap/>
            <w:vAlign w:val="center"/>
            <w:hideMark/>
          </w:tcPr>
          <w:p w:rsidR="0080233D" w:rsidRPr="00B65096" w:rsidRDefault="0080233D" w:rsidP="0080233D">
            <w:pPr>
              <w:spacing w:after="0" w:line="240" w:lineRule="auto"/>
              <w:jc w:val="right"/>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1.959.821,89</w:t>
            </w:r>
          </w:p>
        </w:tc>
        <w:tc>
          <w:tcPr>
            <w:tcW w:w="1617" w:type="dxa"/>
            <w:tcBorders>
              <w:top w:val="nil"/>
              <w:left w:val="nil"/>
              <w:bottom w:val="single" w:sz="4" w:space="0" w:color="auto"/>
              <w:right w:val="single" w:sz="4" w:space="0" w:color="auto"/>
            </w:tcBorders>
            <w:shd w:val="clear" w:color="auto" w:fill="auto"/>
            <w:noWrap/>
            <w:vAlign w:val="center"/>
            <w:hideMark/>
          </w:tcPr>
          <w:p w:rsidR="0080233D" w:rsidRPr="00B65096" w:rsidRDefault="0080233D" w:rsidP="0080233D">
            <w:pPr>
              <w:spacing w:after="0" w:line="240" w:lineRule="auto"/>
              <w:jc w:val="right"/>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2.099.557,19</w:t>
            </w:r>
          </w:p>
        </w:tc>
      </w:tr>
      <w:tr w:rsidR="0080233D" w:rsidRPr="00B65096" w:rsidTr="0080233D">
        <w:trPr>
          <w:trHeight w:val="300"/>
        </w:trPr>
        <w:tc>
          <w:tcPr>
            <w:tcW w:w="5120" w:type="dxa"/>
            <w:tcBorders>
              <w:top w:val="nil"/>
              <w:left w:val="single" w:sz="4" w:space="0" w:color="auto"/>
              <w:bottom w:val="single" w:sz="4" w:space="0" w:color="auto"/>
              <w:right w:val="single" w:sz="4" w:space="0" w:color="auto"/>
            </w:tcBorders>
            <w:shd w:val="clear" w:color="auto" w:fill="auto"/>
            <w:noWrap/>
            <w:vAlign w:val="bottom"/>
            <w:hideMark/>
          </w:tcPr>
          <w:p w:rsidR="0080233D" w:rsidRPr="00B65096" w:rsidRDefault="0080233D" w:rsidP="0080233D">
            <w:pPr>
              <w:spacing w:after="0" w:line="240" w:lineRule="auto"/>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Subvencije</w:t>
            </w:r>
          </w:p>
        </w:tc>
        <w:tc>
          <w:tcPr>
            <w:tcW w:w="1617" w:type="dxa"/>
            <w:tcBorders>
              <w:top w:val="nil"/>
              <w:left w:val="nil"/>
              <w:bottom w:val="single" w:sz="4" w:space="0" w:color="auto"/>
              <w:right w:val="single" w:sz="4" w:space="0" w:color="auto"/>
            </w:tcBorders>
            <w:shd w:val="clear" w:color="auto" w:fill="auto"/>
            <w:noWrap/>
            <w:vAlign w:val="center"/>
            <w:hideMark/>
          </w:tcPr>
          <w:p w:rsidR="0080233D" w:rsidRPr="00B65096" w:rsidRDefault="0080233D" w:rsidP="0080233D">
            <w:pPr>
              <w:spacing w:after="0" w:line="240" w:lineRule="auto"/>
              <w:jc w:val="right"/>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4.324.535,34</w:t>
            </w:r>
          </w:p>
        </w:tc>
        <w:tc>
          <w:tcPr>
            <w:tcW w:w="1617" w:type="dxa"/>
            <w:tcBorders>
              <w:top w:val="nil"/>
              <w:left w:val="nil"/>
              <w:bottom w:val="single" w:sz="4" w:space="0" w:color="auto"/>
              <w:right w:val="single" w:sz="4" w:space="0" w:color="auto"/>
            </w:tcBorders>
            <w:shd w:val="clear" w:color="auto" w:fill="auto"/>
            <w:noWrap/>
            <w:vAlign w:val="center"/>
            <w:hideMark/>
          </w:tcPr>
          <w:p w:rsidR="0080233D" w:rsidRPr="00B65096" w:rsidRDefault="0080233D" w:rsidP="0080233D">
            <w:pPr>
              <w:spacing w:after="0" w:line="240" w:lineRule="auto"/>
              <w:jc w:val="right"/>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3.886.228,47</w:t>
            </w:r>
          </w:p>
        </w:tc>
      </w:tr>
      <w:tr w:rsidR="0080233D" w:rsidRPr="00B65096" w:rsidTr="00D67F27">
        <w:trPr>
          <w:trHeight w:val="300"/>
        </w:trPr>
        <w:tc>
          <w:tcPr>
            <w:tcW w:w="5120" w:type="dxa"/>
            <w:tcBorders>
              <w:top w:val="nil"/>
              <w:left w:val="single" w:sz="4" w:space="0" w:color="auto"/>
              <w:bottom w:val="single" w:sz="4" w:space="0" w:color="auto"/>
              <w:right w:val="single" w:sz="4" w:space="0" w:color="auto"/>
            </w:tcBorders>
            <w:shd w:val="clear" w:color="auto" w:fill="auto"/>
            <w:noWrap/>
            <w:vAlign w:val="bottom"/>
            <w:hideMark/>
          </w:tcPr>
          <w:p w:rsidR="0080233D" w:rsidRPr="00B65096" w:rsidRDefault="0080233D" w:rsidP="0080233D">
            <w:pPr>
              <w:spacing w:after="0" w:line="240" w:lineRule="auto"/>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Pomoći dane u inozemstvo i unutar opće države</w:t>
            </w:r>
          </w:p>
        </w:tc>
        <w:tc>
          <w:tcPr>
            <w:tcW w:w="1617" w:type="dxa"/>
            <w:tcBorders>
              <w:top w:val="nil"/>
              <w:left w:val="nil"/>
              <w:bottom w:val="single" w:sz="4" w:space="0" w:color="auto"/>
              <w:right w:val="single" w:sz="4" w:space="0" w:color="auto"/>
            </w:tcBorders>
            <w:shd w:val="clear" w:color="auto" w:fill="auto"/>
            <w:noWrap/>
            <w:vAlign w:val="center"/>
            <w:hideMark/>
          </w:tcPr>
          <w:p w:rsidR="0080233D" w:rsidRPr="00B65096" w:rsidRDefault="00AE5E02" w:rsidP="0080233D">
            <w:pPr>
              <w:spacing w:after="0" w:line="240" w:lineRule="auto"/>
              <w:jc w:val="right"/>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57.783.966,34</w:t>
            </w:r>
          </w:p>
        </w:tc>
        <w:tc>
          <w:tcPr>
            <w:tcW w:w="1617" w:type="dxa"/>
            <w:tcBorders>
              <w:top w:val="nil"/>
              <w:left w:val="nil"/>
              <w:bottom w:val="single" w:sz="4" w:space="0" w:color="auto"/>
              <w:right w:val="single" w:sz="4" w:space="0" w:color="auto"/>
            </w:tcBorders>
            <w:shd w:val="clear" w:color="auto" w:fill="auto"/>
            <w:noWrap/>
            <w:vAlign w:val="center"/>
            <w:hideMark/>
          </w:tcPr>
          <w:p w:rsidR="0080233D" w:rsidRPr="00B65096" w:rsidRDefault="00AE5E02" w:rsidP="0080233D">
            <w:pPr>
              <w:spacing w:after="0" w:line="240" w:lineRule="auto"/>
              <w:jc w:val="right"/>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62.648.155,97</w:t>
            </w:r>
          </w:p>
        </w:tc>
      </w:tr>
      <w:tr w:rsidR="0080233D" w:rsidRPr="00B65096" w:rsidTr="00D67F27">
        <w:trPr>
          <w:trHeight w:val="600"/>
        </w:trPr>
        <w:tc>
          <w:tcPr>
            <w:tcW w:w="5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233D" w:rsidRPr="00B65096" w:rsidRDefault="0080233D" w:rsidP="0080233D">
            <w:pPr>
              <w:spacing w:after="0" w:line="240" w:lineRule="auto"/>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Naknade građanima i kućanstvima na temelju osiguranja i druge naknade</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rsidR="0080233D" w:rsidRPr="00B65096" w:rsidRDefault="0080233D" w:rsidP="0080233D">
            <w:pPr>
              <w:spacing w:after="0" w:line="240" w:lineRule="auto"/>
              <w:jc w:val="right"/>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3.909.054,80</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rsidR="0080233D" w:rsidRPr="00B65096" w:rsidRDefault="0080233D" w:rsidP="0080233D">
            <w:pPr>
              <w:spacing w:after="0" w:line="240" w:lineRule="auto"/>
              <w:jc w:val="right"/>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3.782.392,12</w:t>
            </w:r>
          </w:p>
        </w:tc>
      </w:tr>
      <w:tr w:rsidR="0080233D" w:rsidRPr="00B65096" w:rsidTr="00D67F27">
        <w:trPr>
          <w:trHeight w:val="300"/>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33D" w:rsidRPr="00B65096" w:rsidRDefault="0080233D" w:rsidP="0080233D">
            <w:pPr>
              <w:spacing w:after="0" w:line="240" w:lineRule="auto"/>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Ostali rashodi</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rsidR="0080233D" w:rsidRPr="00B65096" w:rsidRDefault="0080233D" w:rsidP="0080233D">
            <w:pPr>
              <w:spacing w:after="0" w:line="240" w:lineRule="auto"/>
              <w:jc w:val="right"/>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15.722.299,53</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rsidR="0080233D" w:rsidRPr="00B65096" w:rsidRDefault="0080233D" w:rsidP="0080233D">
            <w:pPr>
              <w:spacing w:after="0" w:line="240" w:lineRule="auto"/>
              <w:jc w:val="right"/>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18.318.738,85</w:t>
            </w:r>
          </w:p>
        </w:tc>
      </w:tr>
      <w:tr w:rsidR="0080233D" w:rsidRPr="00B65096" w:rsidTr="00D67F27">
        <w:trPr>
          <w:trHeight w:val="300"/>
        </w:trPr>
        <w:tc>
          <w:tcPr>
            <w:tcW w:w="512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rsidR="0080233D" w:rsidRPr="00B65096" w:rsidRDefault="0080233D" w:rsidP="0080233D">
            <w:pPr>
              <w:spacing w:after="0" w:line="240" w:lineRule="auto"/>
              <w:rPr>
                <w:rFonts w:ascii="Times New Roman" w:eastAsia="Times New Roman" w:hAnsi="Times New Roman" w:cs="Times New Roman"/>
                <w:b/>
                <w:bCs/>
                <w:color w:val="000000"/>
                <w:lang w:eastAsia="hr-HR"/>
              </w:rPr>
            </w:pPr>
            <w:r w:rsidRPr="00B65096">
              <w:rPr>
                <w:rFonts w:ascii="Times New Roman" w:eastAsia="Times New Roman" w:hAnsi="Times New Roman" w:cs="Times New Roman"/>
                <w:b/>
                <w:bCs/>
                <w:color w:val="000000"/>
                <w:lang w:eastAsia="hr-HR"/>
              </w:rPr>
              <w:t>Rashodi za nabavu nefinancijske imovine</w:t>
            </w:r>
          </w:p>
        </w:tc>
        <w:tc>
          <w:tcPr>
            <w:tcW w:w="1617" w:type="dxa"/>
            <w:tcBorders>
              <w:top w:val="single" w:sz="4" w:space="0" w:color="auto"/>
              <w:left w:val="nil"/>
              <w:bottom w:val="single" w:sz="4" w:space="0" w:color="auto"/>
              <w:right w:val="single" w:sz="4" w:space="0" w:color="auto"/>
            </w:tcBorders>
            <w:shd w:val="clear" w:color="000000" w:fill="D9E1F2"/>
            <w:noWrap/>
            <w:vAlign w:val="center"/>
            <w:hideMark/>
          </w:tcPr>
          <w:p w:rsidR="0080233D" w:rsidRPr="00B65096" w:rsidRDefault="0080233D" w:rsidP="0080233D">
            <w:pPr>
              <w:spacing w:after="0" w:line="240" w:lineRule="auto"/>
              <w:jc w:val="right"/>
              <w:rPr>
                <w:rFonts w:ascii="Times New Roman" w:eastAsia="Times New Roman" w:hAnsi="Times New Roman" w:cs="Times New Roman"/>
                <w:b/>
                <w:bCs/>
                <w:color w:val="000000"/>
                <w:lang w:eastAsia="hr-HR"/>
              </w:rPr>
            </w:pPr>
            <w:r w:rsidRPr="00B65096">
              <w:rPr>
                <w:rFonts w:ascii="Times New Roman" w:eastAsia="Times New Roman" w:hAnsi="Times New Roman" w:cs="Times New Roman"/>
                <w:b/>
                <w:bCs/>
                <w:color w:val="000000"/>
                <w:lang w:eastAsia="hr-HR"/>
              </w:rPr>
              <w:t>29.359.728,32</w:t>
            </w:r>
          </w:p>
        </w:tc>
        <w:tc>
          <w:tcPr>
            <w:tcW w:w="1617" w:type="dxa"/>
            <w:tcBorders>
              <w:top w:val="single" w:sz="4" w:space="0" w:color="auto"/>
              <w:left w:val="nil"/>
              <w:bottom w:val="single" w:sz="4" w:space="0" w:color="auto"/>
              <w:right w:val="single" w:sz="4" w:space="0" w:color="auto"/>
            </w:tcBorders>
            <w:shd w:val="clear" w:color="000000" w:fill="D9E1F2"/>
            <w:noWrap/>
            <w:vAlign w:val="center"/>
            <w:hideMark/>
          </w:tcPr>
          <w:p w:rsidR="0080233D" w:rsidRPr="00B65096" w:rsidRDefault="0080233D" w:rsidP="0080233D">
            <w:pPr>
              <w:spacing w:after="0" w:line="240" w:lineRule="auto"/>
              <w:jc w:val="right"/>
              <w:rPr>
                <w:rFonts w:ascii="Times New Roman" w:eastAsia="Times New Roman" w:hAnsi="Times New Roman" w:cs="Times New Roman"/>
                <w:b/>
                <w:bCs/>
                <w:color w:val="000000"/>
                <w:lang w:eastAsia="hr-HR"/>
              </w:rPr>
            </w:pPr>
            <w:r w:rsidRPr="00B65096">
              <w:rPr>
                <w:rFonts w:ascii="Times New Roman" w:eastAsia="Times New Roman" w:hAnsi="Times New Roman" w:cs="Times New Roman"/>
                <w:b/>
                <w:bCs/>
                <w:color w:val="000000"/>
                <w:lang w:eastAsia="hr-HR"/>
              </w:rPr>
              <w:t>22.721.798,98</w:t>
            </w:r>
          </w:p>
        </w:tc>
      </w:tr>
      <w:tr w:rsidR="0080233D" w:rsidRPr="00B65096" w:rsidTr="00D67F27">
        <w:trPr>
          <w:trHeight w:val="300"/>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33D" w:rsidRPr="00B65096" w:rsidRDefault="0080233D" w:rsidP="0080233D">
            <w:pPr>
              <w:spacing w:after="0" w:line="240" w:lineRule="auto"/>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 xml:space="preserve">Rashodi za nabavu </w:t>
            </w:r>
            <w:proofErr w:type="spellStart"/>
            <w:r w:rsidRPr="00B65096">
              <w:rPr>
                <w:rFonts w:ascii="Times New Roman" w:eastAsia="Times New Roman" w:hAnsi="Times New Roman" w:cs="Times New Roman"/>
                <w:color w:val="000000"/>
                <w:lang w:eastAsia="hr-HR"/>
              </w:rPr>
              <w:t>neproizvedene</w:t>
            </w:r>
            <w:proofErr w:type="spellEnd"/>
            <w:r w:rsidRPr="00B65096">
              <w:rPr>
                <w:rFonts w:ascii="Times New Roman" w:eastAsia="Times New Roman" w:hAnsi="Times New Roman" w:cs="Times New Roman"/>
                <w:color w:val="000000"/>
                <w:lang w:eastAsia="hr-HR"/>
              </w:rPr>
              <w:t xml:space="preserve"> imovine</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rsidR="0080233D" w:rsidRPr="00B65096" w:rsidRDefault="0080233D" w:rsidP="0080233D">
            <w:pPr>
              <w:spacing w:after="0" w:line="240" w:lineRule="auto"/>
              <w:jc w:val="right"/>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3.808.838,71</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rsidR="0080233D" w:rsidRPr="00B65096" w:rsidRDefault="0080233D" w:rsidP="0080233D">
            <w:pPr>
              <w:spacing w:after="0" w:line="240" w:lineRule="auto"/>
              <w:jc w:val="right"/>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2.632.891,02</w:t>
            </w:r>
          </w:p>
        </w:tc>
      </w:tr>
      <w:tr w:rsidR="0080233D" w:rsidRPr="00B65096" w:rsidTr="00D67F27">
        <w:trPr>
          <w:trHeight w:val="300"/>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33D" w:rsidRPr="00B65096" w:rsidRDefault="0080233D" w:rsidP="0080233D">
            <w:pPr>
              <w:spacing w:after="0" w:line="240" w:lineRule="auto"/>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Rashodi za nabavu proizvedene dugotrajne imovine</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rsidR="0080233D" w:rsidRPr="00B65096" w:rsidRDefault="0080233D" w:rsidP="0080233D">
            <w:pPr>
              <w:spacing w:after="0" w:line="240" w:lineRule="auto"/>
              <w:jc w:val="right"/>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21.741.437,40</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rsidR="0080233D" w:rsidRPr="00B65096" w:rsidRDefault="0080233D" w:rsidP="0080233D">
            <w:pPr>
              <w:spacing w:after="0" w:line="240" w:lineRule="auto"/>
              <w:jc w:val="right"/>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12.874.986,35</w:t>
            </w:r>
          </w:p>
        </w:tc>
      </w:tr>
      <w:tr w:rsidR="0080233D" w:rsidRPr="00B65096" w:rsidTr="00D67F27">
        <w:trPr>
          <w:trHeight w:val="300"/>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33D" w:rsidRPr="00B65096" w:rsidRDefault="0080233D" w:rsidP="0080233D">
            <w:pPr>
              <w:spacing w:after="0" w:line="240" w:lineRule="auto"/>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Rashodi za dodatna ulaganja na nefinancijskoj imovini</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rsidR="0080233D" w:rsidRPr="00B65096" w:rsidRDefault="0080233D" w:rsidP="0080233D">
            <w:pPr>
              <w:spacing w:after="0" w:line="240" w:lineRule="auto"/>
              <w:jc w:val="right"/>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3.809.452,21</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rsidR="0080233D" w:rsidRPr="00B65096" w:rsidRDefault="0080233D" w:rsidP="0080233D">
            <w:pPr>
              <w:spacing w:after="0" w:line="240" w:lineRule="auto"/>
              <w:jc w:val="right"/>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7.213.921,61</w:t>
            </w:r>
          </w:p>
        </w:tc>
      </w:tr>
      <w:tr w:rsidR="0080233D" w:rsidRPr="00B65096" w:rsidTr="00D67F27">
        <w:trPr>
          <w:trHeight w:val="300"/>
        </w:trPr>
        <w:tc>
          <w:tcPr>
            <w:tcW w:w="512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rsidR="0080233D" w:rsidRPr="00B65096" w:rsidRDefault="0080233D" w:rsidP="0080233D">
            <w:pPr>
              <w:spacing w:after="0" w:line="240" w:lineRule="auto"/>
              <w:rPr>
                <w:rFonts w:ascii="Times New Roman" w:eastAsia="Times New Roman" w:hAnsi="Times New Roman" w:cs="Times New Roman"/>
                <w:b/>
                <w:bCs/>
                <w:color w:val="000000"/>
                <w:lang w:eastAsia="hr-HR"/>
              </w:rPr>
            </w:pPr>
            <w:r w:rsidRPr="00B65096">
              <w:rPr>
                <w:rFonts w:ascii="Times New Roman" w:eastAsia="Times New Roman" w:hAnsi="Times New Roman" w:cs="Times New Roman"/>
                <w:b/>
                <w:bCs/>
                <w:color w:val="000000"/>
                <w:lang w:eastAsia="hr-HR"/>
              </w:rPr>
              <w:t>Izdaci za financijsku imovinu i otplate zajmova</w:t>
            </w:r>
          </w:p>
        </w:tc>
        <w:tc>
          <w:tcPr>
            <w:tcW w:w="1617" w:type="dxa"/>
            <w:tcBorders>
              <w:top w:val="single" w:sz="4" w:space="0" w:color="auto"/>
              <w:left w:val="nil"/>
              <w:bottom w:val="single" w:sz="4" w:space="0" w:color="auto"/>
              <w:right w:val="single" w:sz="4" w:space="0" w:color="auto"/>
            </w:tcBorders>
            <w:shd w:val="clear" w:color="000000" w:fill="D9E1F2"/>
            <w:noWrap/>
            <w:vAlign w:val="center"/>
            <w:hideMark/>
          </w:tcPr>
          <w:p w:rsidR="0080233D" w:rsidRPr="00B65096" w:rsidRDefault="0080233D" w:rsidP="0080233D">
            <w:pPr>
              <w:spacing w:after="0" w:line="240" w:lineRule="auto"/>
              <w:jc w:val="right"/>
              <w:rPr>
                <w:rFonts w:ascii="Times New Roman" w:eastAsia="Times New Roman" w:hAnsi="Times New Roman" w:cs="Times New Roman"/>
                <w:b/>
                <w:bCs/>
                <w:color w:val="000000"/>
                <w:lang w:eastAsia="hr-HR"/>
              </w:rPr>
            </w:pPr>
            <w:r w:rsidRPr="00B65096">
              <w:rPr>
                <w:rFonts w:ascii="Times New Roman" w:eastAsia="Times New Roman" w:hAnsi="Times New Roman" w:cs="Times New Roman"/>
                <w:b/>
                <w:bCs/>
                <w:color w:val="000000"/>
                <w:lang w:eastAsia="hr-HR"/>
              </w:rPr>
              <w:t>9.794.513,19</w:t>
            </w:r>
          </w:p>
        </w:tc>
        <w:tc>
          <w:tcPr>
            <w:tcW w:w="1617" w:type="dxa"/>
            <w:tcBorders>
              <w:top w:val="single" w:sz="4" w:space="0" w:color="auto"/>
              <w:left w:val="nil"/>
              <w:bottom w:val="single" w:sz="4" w:space="0" w:color="auto"/>
              <w:right w:val="single" w:sz="4" w:space="0" w:color="auto"/>
            </w:tcBorders>
            <w:shd w:val="clear" w:color="000000" w:fill="D9E1F2"/>
            <w:noWrap/>
            <w:vAlign w:val="center"/>
            <w:hideMark/>
          </w:tcPr>
          <w:p w:rsidR="0080233D" w:rsidRPr="00B65096" w:rsidRDefault="0080233D" w:rsidP="0080233D">
            <w:pPr>
              <w:spacing w:after="0" w:line="240" w:lineRule="auto"/>
              <w:jc w:val="right"/>
              <w:rPr>
                <w:rFonts w:ascii="Times New Roman" w:eastAsia="Times New Roman" w:hAnsi="Times New Roman" w:cs="Times New Roman"/>
                <w:b/>
                <w:bCs/>
                <w:color w:val="000000"/>
                <w:lang w:eastAsia="hr-HR"/>
              </w:rPr>
            </w:pPr>
            <w:r w:rsidRPr="00B65096">
              <w:rPr>
                <w:rFonts w:ascii="Times New Roman" w:eastAsia="Times New Roman" w:hAnsi="Times New Roman" w:cs="Times New Roman"/>
                <w:b/>
                <w:bCs/>
                <w:color w:val="000000"/>
                <w:lang w:eastAsia="hr-HR"/>
              </w:rPr>
              <w:t>9.809.486,41</w:t>
            </w:r>
          </w:p>
        </w:tc>
      </w:tr>
      <w:tr w:rsidR="0080233D" w:rsidRPr="00B65096" w:rsidTr="00D67F27">
        <w:trPr>
          <w:trHeight w:val="300"/>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33D" w:rsidRPr="00B65096" w:rsidRDefault="0080233D" w:rsidP="0080233D">
            <w:pPr>
              <w:spacing w:after="0" w:line="240" w:lineRule="auto"/>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Izdaci za dane zajmove</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rsidR="0080233D" w:rsidRPr="00B65096" w:rsidRDefault="0080233D" w:rsidP="0080233D">
            <w:pPr>
              <w:spacing w:after="0" w:line="240" w:lineRule="auto"/>
              <w:jc w:val="right"/>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1.796.336,61</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rsidR="0080233D" w:rsidRPr="00B65096" w:rsidRDefault="0080233D" w:rsidP="0080233D">
            <w:pPr>
              <w:spacing w:after="0" w:line="240" w:lineRule="auto"/>
              <w:jc w:val="right"/>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1.020.439,44</w:t>
            </w:r>
          </w:p>
        </w:tc>
      </w:tr>
      <w:tr w:rsidR="0080233D" w:rsidRPr="00B65096" w:rsidTr="00D67F27">
        <w:trPr>
          <w:trHeight w:val="300"/>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33D" w:rsidRPr="00B65096" w:rsidRDefault="0080233D" w:rsidP="0080233D">
            <w:pPr>
              <w:spacing w:after="0" w:line="240" w:lineRule="auto"/>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Izdaci za dionice i udjele u glavnici</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rsidR="0080233D" w:rsidRPr="00B65096" w:rsidRDefault="0080233D" w:rsidP="0080233D">
            <w:pPr>
              <w:spacing w:after="0" w:line="240" w:lineRule="auto"/>
              <w:jc w:val="right"/>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0,00</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rsidR="0080233D" w:rsidRPr="00B65096" w:rsidRDefault="0080233D" w:rsidP="0080233D">
            <w:pPr>
              <w:spacing w:after="0" w:line="240" w:lineRule="auto"/>
              <w:jc w:val="right"/>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23,44</w:t>
            </w:r>
          </w:p>
        </w:tc>
      </w:tr>
      <w:tr w:rsidR="0080233D" w:rsidRPr="00B65096" w:rsidTr="00D67F27">
        <w:trPr>
          <w:trHeight w:val="300"/>
        </w:trPr>
        <w:tc>
          <w:tcPr>
            <w:tcW w:w="5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33D" w:rsidRPr="00B65096" w:rsidRDefault="0080233D" w:rsidP="0080233D">
            <w:pPr>
              <w:spacing w:after="0" w:line="240" w:lineRule="auto"/>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Izdaci za otplatu glavnice primljenih kredita i zajmova</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rsidR="0080233D" w:rsidRPr="00B65096" w:rsidRDefault="0080233D" w:rsidP="0080233D">
            <w:pPr>
              <w:spacing w:after="0" w:line="240" w:lineRule="auto"/>
              <w:jc w:val="right"/>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7.998.176,58</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rsidR="0080233D" w:rsidRPr="00B65096" w:rsidRDefault="0080233D" w:rsidP="0080233D">
            <w:pPr>
              <w:spacing w:after="0" w:line="240" w:lineRule="auto"/>
              <w:jc w:val="right"/>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8.789.023,53</w:t>
            </w:r>
          </w:p>
        </w:tc>
      </w:tr>
    </w:tbl>
    <w:p w:rsidR="000337E6" w:rsidRPr="00B65096" w:rsidRDefault="000337E6" w:rsidP="000337E6">
      <w:pPr>
        <w:spacing w:after="0" w:line="276" w:lineRule="auto"/>
        <w:jc w:val="both"/>
        <w:rPr>
          <w:rFonts w:ascii="Times New Roman" w:eastAsia="Calibri" w:hAnsi="Times New Roman" w:cs="Times New Roman"/>
          <w:b/>
          <w:bCs/>
          <w:sz w:val="24"/>
          <w:szCs w:val="24"/>
        </w:rPr>
      </w:pPr>
    </w:p>
    <w:p w:rsidR="000337E6" w:rsidRPr="00B65096" w:rsidRDefault="000337E6" w:rsidP="000337E6">
      <w:pPr>
        <w:spacing w:after="0" w:line="276" w:lineRule="auto"/>
        <w:jc w:val="both"/>
        <w:rPr>
          <w:rFonts w:ascii="Times New Roman" w:eastAsia="Calibri" w:hAnsi="Times New Roman" w:cs="Times New Roman"/>
          <w:b/>
          <w:bCs/>
          <w:sz w:val="24"/>
          <w:szCs w:val="24"/>
        </w:rPr>
      </w:pPr>
    </w:p>
    <w:p w:rsidR="00F14C9A" w:rsidRPr="00B65096" w:rsidRDefault="00225EEB" w:rsidP="00AA22F8">
      <w:pPr>
        <w:spacing w:after="0" w:line="276" w:lineRule="auto"/>
        <w:ind w:firstLine="708"/>
        <w:jc w:val="both"/>
        <w:rPr>
          <w:rFonts w:ascii="Times New Roman" w:eastAsia="Calibri" w:hAnsi="Times New Roman" w:cs="Times New Roman"/>
          <w:sz w:val="24"/>
          <w:szCs w:val="24"/>
        </w:rPr>
      </w:pPr>
      <w:r w:rsidRPr="00B65096">
        <w:rPr>
          <w:rFonts w:ascii="Times New Roman" w:eastAsia="Calibri" w:hAnsi="Times New Roman" w:cs="Times New Roman"/>
          <w:sz w:val="24"/>
          <w:szCs w:val="24"/>
        </w:rPr>
        <w:t>Vrijednosno značajniji rashodi i izdaci odnose se na pomoći dane u inozemstvo i unutar općeg proračuna</w:t>
      </w:r>
      <w:r w:rsidR="00817B0D" w:rsidRPr="00B65096">
        <w:rPr>
          <w:rFonts w:ascii="Times New Roman" w:eastAsia="Calibri" w:hAnsi="Times New Roman" w:cs="Times New Roman"/>
          <w:sz w:val="24"/>
          <w:szCs w:val="24"/>
        </w:rPr>
        <w:t xml:space="preserve"> koje čine </w:t>
      </w:r>
      <w:r w:rsidRPr="00B65096">
        <w:rPr>
          <w:rFonts w:ascii="Times New Roman" w:eastAsia="Calibri" w:hAnsi="Times New Roman" w:cs="Times New Roman"/>
          <w:sz w:val="24"/>
          <w:szCs w:val="24"/>
        </w:rPr>
        <w:t>33,6 %</w:t>
      </w:r>
      <w:r w:rsidR="00817B0D" w:rsidRPr="00B65096">
        <w:rPr>
          <w:rFonts w:ascii="Times New Roman" w:eastAsia="Calibri" w:hAnsi="Times New Roman" w:cs="Times New Roman"/>
          <w:sz w:val="24"/>
          <w:szCs w:val="24"/>
        </w:rPr>
        <w:t xml:space="preserve"> ukupnih rashoda i izdatka</w:t>
      </w:r>
      <w:r w:rsidRPr="00B65096">
        <w:rPr>
          <w:rFonts w:ascii="Times New Roman" w:eastAsia="Calibri" w:hAnsi="Times New Roman" w:cs="Times New Roman"/>
          <w:sz w:val="24"/>
          <w:szCs w:val="24"/>
        </w:rPr>
        <w:t>,</w:t>
      </w:r>
      <w:r w:rsidR="00817B0D" w:rsidRPr="00B65096">
        <w:rPr>
          <w:rFonts w:ascii="Times New Roman" w:eastAsia="Calibri" w:hAnsi="Times New Roman" w:cs="Times New Roman"/>
          <w:sz w:val="24"/>
          <w:szCs w:val="24"/>
        </w:rPr>
        <w:t xml:space="preserve"> na </w:t>
      </w:r>
      <w:r w:rsidRPr="00B65096">
        <w:rPr>
          <w:rFonts w:ascii="Times New Roman" w:eastAsia="Calibri" w:hAnsi="Times New Roman" w:cs="Times New Roman"/>
          <w:sz w:val="24"/>
          <w:szCs w:val="24"/>
        </w:rPr>
        <w:t xml:space="preserve">materijalne rashode </w:t>
      </w:r>
      <w:r w:rsidR="00817B0D" w:rsidRPr="00B65096">
        <w:rPr>
          <w:rFonts w:ascii="Times New Roman" w:eastAsia="Calibri" w:hAnsi="Times New Roman" w:cs="Times New Roman"/>
          <w:sz w:val="24"/>
          <w:szCs w:val="24"/>
        </w:rPr>
        <w:t xml:space="preserve">otpada </w:t>
      </w:r>
      <w:r w:rsidRPr="00B65096">
        <w:rPr>
          <w:rFonts w:ascii="Times New Roman" w:eastAsia="Calibri" w:hAnsi="Times New Roman" w:cs="Times New Roman"/>
          <w:sz w:val="24"/>
          <w:szCs w:val="24"/>
        </w:rPr>
        <w:t xml:space="preserve">24,5 %, </w:t>
      </w:r>
      <w:r w:rsidR="00817B0D" w:rsidRPr="00B65096">
        <w:rPr>
          <w:rFonts w:ascii="Times New Roman" w:eastAsia="Calibri" w:hAnsi="Times New Roman" w:cs="Times New Roman"/>
          <w:sz w:val="24"/>
          <w:szCs w:val="24"/>
        </w:rPr>
        <w:t xml:space="preserve">na </w:t>
      </w:r>
      <w:r w:rsidRPr="00B65096">
        <w:rPr>
          <w:rFonts w:ascii="Times New Roman" w:eastAsia="Calibri" w:hAnsi="Times New Roman" w:cs="Times New Roman"/>
          <w:sz w:val="24"/>
          <w:szCs w:val="24"/>
        </w:rPr>
        <w:t>nabavu nefinancijske imovine 12,2 %,</w:t>
      </w:r>
      <w:r w:rsidR="00817B0D" w:rsidRPr="00B65096">
        <w:rPr>
          <w:rFonts w:ascii="Times New Roman" w:eastAsia="Calibri" w:hAnsi="Times New Roman" w:cs="Times New Roman"/>
          <w:sz w:val="24"/>
          <w:szCs w:val="24"/>
        </w:rPr>
        <w:t xml:space="preserve"> na </w:t>
      </w:r>
      <w:r w:rsidRPr="00B65096">
        <w:rPr>
          <w:rFonts w:ascii="Times New Roman" w:eastAsia="Calibri" w:hAnsi="Times New Roman" w:cs="Times New Roman"/>
          <w:sz w:val="24"/>
          <w:szCs w:val="24"/>
        </w:rPr>
        <w:t>ostale rashode 9,8 %</w:t>
      </w:r>
      <w:r w:rsidR="00252D6B" w:rsidRPr="00B65096">
        <w:rPr>
          <w:rFonts w:ascii="Times New Roman" w:eastAsia="Calibri" w:hAnsi="Times New Roman" w:cs="Times New Roman"/>
          <w:sz w:val="24"/>
          <w:szCs w:val="24"/>
        </w:rPr>
        <w:t xml:space="preserve"> te </w:t>
      </w:r>
      <w:r w:rsidR="00817B0D" w:rsidRPr="00B65096">
        <w:rPr>
          <w:rFonts w:ascii="Times New Roman" w:eastAsia="Calibri" w:hAnsi="Times New Roman" w:cs="Times New Roman"/>
          <w:sz w:val="24"/>
          <w:szCs w:val="24"/>
        </w:rPr>
        <w:t xml:space="preserve">na </w:t>
      </w:r>
      <w:r w:rsidRPr="00B65096">
        <w:rPr>
          <w:rFonts w:ascii="Times New Roman" w:eastAsia="Calibri" w:hAnsi="Times New Roman" w:cs="Times New Roman"/>
          <w:sz w:val="24"/>
          <w:szCs w:val="24"/>
        </w:rPr>
        <w:t xml:space="preserve">rashode za zaposlene  9,4 % ukupno ostvarenih rashoda i izdataka. Svi drugi rashodi i izdaci (financijski rashodi, subvencije, pomoći dane u inozemstvo i unutar općeg proračuna, naknade građanima i kućanstvima na temelju osiguranja i druge naknade, te izdaci za financijsku imovinu i otplate zajmova) </w:t>
      </w:r>
      <w:r w:rsidR="00817B0D" w:rsidRPr="00B65096">
        <w:rPr>
          <w:rFonts w:ascii="Times New Roman" w:eastAsia="Calibri" w:hAnsi="Times New Roman" w:cs="Times New Roman"/>
          <w:sz w:val="24"/>
          <w:szCs w:val="24"/>
        </w:rPr>
        <w:t>čine</w:t>
      </w:r>
      <w:r w:rsidRPr="00B65096">
        <w:rPr>
          <w:rFonts w:ascii="Times New Roman" w:eastAsia="Calibri" w:hAnsi="Times New Roman" w:cs="Times New Roman"/>
          <w:sz w:val="24"/>
          <w:szCs w:val="24"/>
        </w:rPr>
        <w:t xml:space="preserve"> 10,5 % ukupnih rashoda i izdataka. </w:t>
      </w:r>
    </w:p>
    <w:p w:rsidR="00E8542B" w:rsidRPr="00B65096" w:rsidRDefault="00E8542B" w:rsidP="000337E6">
      <w:pPr>
        <w:spacing w:after="0" w:line="276" w:lineRule="auto"/>
        <w:jc w:val="both"/>
        <w:rPr>
          <w:rFonts w:ascii="Times New Roman" w:eastAsia="Calibri" w:hAnsi="Times New Roman" w:cs="Times New Roman"/>
          <w:sz w:val="24"/>
          <w:szCs w:val="24"/>
        </w:rPr>
      </w:pPr>
    </w:p>
    <w:p w:rsidR="0052247A" w:rsidRPr="00B65096" w:rsidRDefault="00225EEB" w:rsidP="00EF53C4">
      <w:pPr>
        <w:spacing w:after="0" w:line="276" w:lineRule="auto"/>
        <w:jc w:val="both"/>
        <w:rPr>
          <w:rFonts w:ascii="Times New Roman" w:eastAsia="Calibri" w:hAnsi="Times New Roman" w:cs="Times New Roman"/>
          <w:sz w:val="24"/>
          <w:szCs w:val="24"/>
        </w:rPr>
      </w:pPr>
      <w:r w:rsidRPr="00B65096">
        <w:rPr>
          <w:rFonts w:ascii="Times New Roman" w:eastAsia="Calibri" w:hAnsi="Times New Roman" w:cs="Times New Roman"/>
          <w:i/>
          <w:iCs/>
          <w:sz w:val="24"/>
          <w:szCs w:val="24"/>
        </w:rPr>
        <w:t xml:space="preserve">Rashodi za zaposlene </w:t>
      </w:r>
      <w:r w:rsidR="00EF53C4" w:rsidRPr="00B65096">
        <w:rPr>
          <w:rFonts w:ascii="Times New Roman" w:eastAsia="Calibri" w:hAnsi="Times New Roman" w:cs="Times New Roman"/>
          <w:i/>
          <w:iCs/>
          <w:sz w:val="24"/>
          <w:szCs w:val="24"/>
        </w:rPr>
        <w:t>-</w:t>
      </w:r>
      <w:r w:rsidR="00EF53C4" w:rsidRPr="00B65096">
        <w:rPr>
          <w:rFonts w:ascii="Times New Roman" w:eastAsia="Calibri" w:hAnsi="Times New Roman" w:cs="Times New Roman"/>
          <w:sz w:val="24"/>
          <w:szCs w:val="24"/>
        </w:rPr>
        <w:t xml:space="preserve"> v</w:t>
      </w:r>
      <w:r w:rsidR="00E8542B" w:rsidRPr="00B65096">
        <w:rPr>
          <w:rFonts w:ascii="Times New Roman" w:eastAsia="Calibri" w:hAnsi="Times New Roman" w:cs="Times New Roman"/>
          <w:sz w:val="24"/>
          <w:szCs w:val="24"/>
        </w:rPr>
        <w:t>rijednosno najznačajnije odstupanje u odnosu na prethodnu godinu odnosi se na povećanje rashoda za zaposlene za 3.147.847 kn najvećim dijelom zbog većeg broja zaposlenih osoba u sklopu Programa javnih radova tijekom 2018. godine.</w:t>
      </w:r>
      <w:r w:rsidR="006B736B" w:rsidRPr="00B65096">
        <w:rPr>
          <w:rFonts w:ascii="Times New Roman" w:eastAsia="Calibri" w:hAnsi="Times New Roman" w:cs="Times New Roman"/>
          <w:sz w:val="24"/>
          <w:szCs w:val="24"/>
        </w:rPr>
        <w:t xml:space="preserve"> Veće ostvarenje u odnosu na 2017. godinu bilježe ostali rashodi za zaposlene</w:t>
      </w:r>
      <w:r w:rsidR="007965ED" w:rsidRPr="00B65096">
        <w:rPr>
          <w:rFonts w:ascii="Times New Roman" w:eastAsia="Calibri" w:hAnsi="Times New Roman" w:cs="Times New Roman"/>
          <w:sz w:val="24"/>
          <w:szCs w:val="24"/>
        </w:rPr>
        <w:t xml:space="preserve"> zbog isplaćenih božićnica djelatnicima Gradske uprav</w:t>
      </w:r>
      <w:r w:rsidR="00A6219C">
        <w:rPr>
          <w:rFonts w:ascii="Times New Roman" w:eastAsia="Calibri" w:hAnsi="Times New Roman" w:cs="Times New Roman"/>
          <w:sz w:val="24"/>
          <w:szCs w:val="24"/>
        </w:rPr>
        <w:t>e</w:t>
      </w:r>
      <w:r w:rsidR="007965ED" w:rsidRPr="00B65096">
        <w:rPr>
          <w:rFonts w:ascii="Times New Roman" w:eastAsia="Calibri" w:hAnsi="Times New Roman" w:cs="Times New Roman"/>
          <w:sz w:val="24"/>
          <w:szCs w:val="24"/>
        </w:rPr>
        <w:t xml:space="preserve"> u neoporezivom iznosu od 1.250 kn</w:t>
      </w:r>
      <w:r w:rsidR="008D7735" w:rsidRPr="00B65096">
        <w:rPr>
          <w:rFonts w:ascii="Times New Roman" w:eastAsia="Calibri" w:hAnsi="Times New Roman" w:cs="Times New Roman"/>
          <w:sz w:val="24"/>
          <w:szCs w:val="24"/>
        </w:rPr>
        <w:t xml:space="preserve"> kojih u prethodnim godinama nije bilo.</w:t>
      </w:r>
    </w:p>
    <w:p w:rsidR="00293464" w:rsidRPr="00B65096" w:rsidRDefault="00293464" w:rsidP="00023ED8">
      <w:pPr>
        <w:spacing w:after="0" w:line="276" w:lineRule="auto"/>
        <w:ind w:firstLine="708"/>
        <w:jc w:val="both"/>
        <w:rPr>
          <w:rFonts w:ascii="Times New Roman" w:eastAsia="Calibri" w:hAnsi="Times New Roman" w:cs="Times New Roman"/>
          <w:sz w:val="24"/>
          <w:szCs w:val="24"/>
        </w:rPr>
      </w:pPr>
    </w:p>
    <w:p w:rsidR="000B49E6" w:rsidRPr="00B65096" w:rsidRDefault="00225EEB" w:rsidP="00F0112C">
      <w:pPr>
        <w:spacing w:after="0" w:line="276" w:lineRule="auto"/>
        <w:jc w:val="both"/>
        <w:rPr>
          <w:rFonts w:ascii="Times New Roman" w:eastAsia="Calibri" w:hAnsi="Times New Roman" w:cs="Times New Roman"/>
          <w:sz w:val="24"/>
          <w:szCs w:val="24"/>
        </w:rPr>
      </w:pPr>
      <w:r w:rsidRPr="00B65096">
        <w:rPr>
          <w:rFonts w:ascii="Times New Roman" w:eastAsia="Calibri" w:hAnsi="Times New Roman" w:cs="Times New Roman"/>
          <w:i/>
          <w:iCs/>
          <w:sz w:val="24"/>
          <w:szCs w:val="24"/>
        </w:rPr>
        <w:t>Materijalni rashodi</w:t>
      </w:r>
      <w:r w:rsidR="00EF53C4" w:rsidRPr="00B65096">
        <w:rPr>
          <w:rFonts w:ascii="Times New Roman" w:eastAsia="Calibri" w:hAnsi="Times New Roman" w:cs="Times New Roman"/>
          <w:i/>
          <w:iCs/>
          <w:sz w:val="24"/>
          <w:szCs w:val="24"/>
        </w:rPr>
        <w:t xml:space="preserve"> -</w:t>
      </w:r>
      <w:r w:rsidR="00EF53C4" w:rsidRPr="00B65096">
        <w:rPr>
          <w:rFonts w:ascii="Times New Roman" w:eastAsia="Calibri" w:hAnsi="Times New Roman" w:cs="Times New Roman"/>
          <w:sz w:val="24"/>
          <w:szCs w:val="24"/>
        </w:rPr>
        <w:t xml:space="preserve"> o</w:t>
      </w:r>
      <w:r w:rsidRPr="00B65096">
        <w:rPr>
          <w:rFonts w:ascii="Times New Roman" w:eastAsia="Calibri" w:hAnsi="Times New Roman" w:cs="Times New Roman"/>
          <w:sz w:val="24"/>
          <w:szCs w:val="24"/>
        </w:rPr>
        <w:t xml:space="preserve">stvareni </w:t>
      </w:r>
      <w:r w:rsidR="00825A04" w:rsidRPr="00B65096">
        <w:rPr>
          <w:rFonts w:ascii="Times New Roman" w:eastAsia="Calibri" w:hAnsi="Times New Roman" w:cs="Times New Roman"/>
          <w:sz w:val="24"/>
          <w:szCs w:val="24"/>
        </w:rPr>
        <w:t xml:space="preserve">su </w:t>
      </w:r>
      <w:r w:rsidR="00520561" w:rsidRPr="00B65096">
        <w:rPr>
          <w:rFonts w:ascii="Times New Roman" w:eastAsia="Calibri" w:hAnsi="Times New Roman" w:cs="Times New Roman"/>
          <w:sz w:val="24"/>
          <w:szCs w:val="24"/>
        </w:rPr>
        <w:t xml:space="preserve">za 1.416.985 kn manje u odnosu na 2017. godinu, što je dokaz </w:t>
      </w:r>
      <w:r w:rsidR="00F0112C" w:rsidRPr="00B65096">
        <w:rPr>
          <w:rFonts w:ascii="Times New Roman" w:eastAsia="Calibri" w:hAnsi="Times New Roman" w:cs="Times New Roman"/>
          <w:sz w:val="24"/>
          <w:szCs w:val="24"/>
        </w:rPr>
        <w:t>tendencije smanjivanja materijalnih troškova kroz godine.</w:t>
      </w:r>
      <w:r w:rsidR="00B34719" w:rsidRPr="00B65096">
        <w:rPr>
          <w:rFonts w:ascii="Times New Roman" w:eastAsia="Calibri" w:hAnsi="Times New Roman" w:cs="Times New Roman"/>
          <w:sz w:val="24"/>
          <w:szCs w:val="24"/>
        </w:rPr>
        <w:t xml:space="preserve"> Najznačajnije smanjenje bilježe rashodi za </w:t>
      </w:r>
      <w:r w:rsidR="005A4A93" w:rsidRPr="00B65096">
        <w:rPr>
          <w:rFonts w:ascii="Times New Roman" w:eastAsia="Calibri" w:hAnsi="Times New Roman" w:cs="Times New Roman"/>
          <w:sz w:val="24"/>
          <w:szCs w:val="24"/>
        </w:rPr>
        <w:t>usluge tekućeg i investicijskog održavanja</w:t>
      </w:r>
      <w:r w:rsidR="004A5161" w:rsidRPr="00B65096">
        <w:rPr>
          <w:rFonts w:ascii="Times New Roman" w:eastAsia="Calibri" w:hAnsi="Times New Roman" w:cs="Times New Roman"/>
          <w:sz w:val="24"/>
          <w:szCs w:val="24"/>
        </w:rPr>
        <w:t>.</w:t>
      </w:r>
    </w:p>
    <w:p w:rsidR="00F0112C" w:rsidRPr="00B65096" w:rsidRDefault="00F0112C" w:rsidP="00F0112C">
      <w:pPr>
        <w:spacing w:after="0" w:line="276" w:lineRule="auto"/>
        <w:jc w:val="both"/>
        <w:rPr>
          <w:rFonts w:ascii="Times New Roman" w:eastAsia="Calibri" w:hAnsi="Times New Roman" w:cs="Times New Roman"/>
          <w:sz w:val="24"/>
          <w:szCs w:val="24"/>
        </w:rPr>
      </w:pPr>
    </w:p>
    <w:p w:rsidR="00CF75EA" w:rsidRPr="000756CF" w:rsidRDefault="00225EEB" w:rsidP="000337E6">
      <w:pPr>
        <w:spacing w:after="0" w:line="276" w:lineRule="auto"/>
        <w:jc w:val="both"/>
        <w:rPr>
          <w:rFonts w:ascii="Times New Roman" w:eastAsia="Calibri" w:hAnsi="Times New Roman" w:cs="Times New Roman"/>
          <w:sz w:val="24"/>
          <w:szCs w:val="24"/>
        </w:rPr>
      </w:pPr>
      <w:r w:rsidRPr="00B65096">
        <w:rPr>
          <w:rFonts w:ascii="Times New Roman" w:eastAsia="Calibri" w:hAnsi="Times New Roman" w:cs="Times New Roman"/>
          <w:i/>
          <w:iCs/>
          <w:sz w:val="24"/>
          <w:szCs w:val="24"/>
        </w:rPr>
        <w:t xml:space="preserve">Financijski rashodi </w:t>
      </w:r>
      <w:r w:rsidR="00DD5C80" w:rsidRPr="00B65096">
        <w:rPr>
          <w:rFonts w:ascii="Times New Roman" w:eastAsia="Calibri" w:hAnsi="Times New Roman" w:cs="Times New Roman"/>
          <w:i/>
          <w:iCs/>
          <w:sz w:val="24"/>
          <w:szCs w:val="24"/>
        </w:rPr>
        <w:t>-</w:t>
      </w:r>
      <w:r w:rsidR="00DD5C80" w:rsidRPr="00B65096">
        <w:rPr>
          <w:rFonts w:ascii="Times New Roman" w:eastAsia="Calibri" w:hAnsi="Times New Roman" w:cs="Times New Roman"/>
          <w:sz w:val="24"/>
          <w:szCs w:val="24"/>
        </w:rPr>
        <w:t xml:space="preserve"> f</w:t>
      </w:r>
      <w:r w:rsidR="006E708D" w:rsidRPr="00B65096">
        <w:rPr>
          <w:rFonts w:ascii="Times New Roman" w:eastAsia="Calibri" w:hAnsi="Times New Roman" w:cs="Times New Roman"/>
          <w:sz w:val="24"/>
          <w:szCs w:val="24"/>
        </w:rPr>
        <w:t xml:space="preserve">inancijski rashodi </w:t>
      </w:r>
      <w:r w:rsidR="004A5161" w:rsidRPr="00B65096">
        <w:rPr>
          <w:rFonts w:ascii="Times New Roman" w:eastAsia="Calibri" w:hAnsi="Times New Roman" w:cs="Times New Roman"/>
          <w:sz w:val="24"/>
          <w:szCs w:val="24"/>
        </w:rPr>
        <w:t>se odnose</w:t>
      </w:r>
      <w:r w:rsidR="006E708D" w:rsidRPr="00B65096">
        <w:rPr>
          <w:rFonts w:ascii="Times New Roman" w:eastAsia="Calibri" w:hAnsi="Times New Roman" w:cs="Times New Roman"/>
          <w:sz w:val="24"/>
          <w:szCs w:val="24"/>
        </w:rPr>
        <w:t xml:space="preserve"> na kamate na primljene kredite, zatezne kamate, bankarske usluge i usluge platnog prometa</w:t>
      </w:r>
      <w:r w:rsidR="004A5161" w:rsidRPr="00B65096">
        <w:rPr>
          <w:rFonts w:ascii="Times New Roman" w:eastAsia="Calibri" w:hAnsi="Times New Roman" w:cs="Times New Roman"/>
          <w:sz w:val="24"/>
          <w:szCs w:val="24"/>
        </w:rPr>
        <w:t xml:space="preserve"> te su ostvarene na približno jednakoj razini u odnosu na 2017. godinu.</w:t>
      </w:r>
    </w:p>
    <w:p w:rsidR="0052247A" w:rsidRPr="00B65096" w:rsidRDefault="00225EEB" w:rsidP="004E725E">
      <w:pPr>
        <w:spacing w:after="0" w:line="276" w:lineRule="auto"/>
        <w:jc w:val="both"/>
        <w:rPr>
          <w:rFonts w:ascii="Times New Roman" w:eastAsia="Calibri" w:hAnsi="Times New Roman" w:cs="Times New Roman"/>
          <w:b/>
          <w:bCs/>
          <w:sz w:val="24"/>
          <w:szCs w:val="24"/>
        </w:rPr>
      </w:pPr>
      <w:r w:rsidRPr="00B65096">
        <w:rPr>
          <w:rFonts w:ascii="Times New Roman" w:eastAsia="Calibri" w:hAnsi="Times New Roman" w:cs="Times New Roman"/>
          <w:i/>
          <w:iCs/>
          <w:sz w:val="24"/>
          <w:szCs w:val="24"/>
        </w:rPr>
        <w:t>Rashodi za subvencije</w:t>
      </w:r>
      <w:r w:rsidR="004E725E" w:rsidRPr="00B65096">
        <w:rPr>
          <w:rFonts w:ascii="Times New Roman" w:eastAsia="Calibri" w:hAnsi="Times New Roman" w:cs="Times New Roman"/>
          <w:i/>
          <w:iCs/>
          <w:sz w:val="24"/>
          <w:szCs w:val="24"/>
        </w:rPr>
        <w:t xml:space="preserve"> -</w:t>
      </w:r>
      <w:r w:rsidR="0024742B" w:rsidRPr="00B65096">
        <w:rPr>
          <w:rFonts w:ascii="Times New Roman" w:eastAsia="Calibri" w:hAnsi="Times New Roman" w:cs="Times New Roman"/>
          <w:b/>
          <w:bCs/>
          <w:sz w:val="24"/>
          <w:szCs w:val="24"/>
        </w:rPr>
        <w:t xml:space="preserve"> </w:t>
      </w:r>
      <w:r w:rsidRPr="00B65096">
        <w:rPr>
          <w:rFonts w:ascii="Times New Roman" w:eastAsia="Calibri" w:hAnsi="Times New Roman" w:cs="Times New Roman"/>
          <w:sz w:val="24"/>
          <w:szCs w:val="24"/>
        </w:rPr>
        <w:t>u vrijednosno značajnijim iznosima odnose se na subvencije trgovačkim društvima i zadrugama izvan javnog sektora</w:t>
      </w:r>
      <w:r w:rsidR="009A0839" w:rsidRPr="00B65096">
        <w:rPr>
          <w:rFonts w:ascii="Times New Roman" w:eastAsia="Calibri" w:hAnsi="Times New Roman" w:cs="Times New Roman"/>
          <w:sz w:val="24"/>
          <w:szCs w:val="24"/>
        </w:rPr>
        <w:t xml:space="preserve">, </w:t>
      </w:r>
      <w:r w:rsidRPr="00B65096">
        <w:rPr>
          <w:rFonts w:ascii="Times New Roman" w:eastAsia="Calibri" w:hAnsi="Times New Roman" w:cs="Times New Roman"/>
          <w:sz w:val="24"/>
          <w:szCs w:val="24"/>
        </w:rPr>
        <w:t>odnosno trgovačkom društvu za prijevoz putnika</w:t>
      </w:r>
      <w:r w:rsidR="0024742B" w:rsidRPr="00B65096">
        <w:rPr>
          <w:rFonts w:ascii="Times New Roman" w:eastAsia="Calibri" w:hAnsi="Times New Roman" w:cs="Times New Roman"/>
          <w:sz w:val="24"/>
          <w:szCs w:val="24"/>
        </w:rPr>
        <w:t xml:space="preserve"> te su ostvarene za 438.307 kn manje.</w:t>
      </w:r>
    </w:p>
    <w:p w:rsidR="002C3E92" w:rsidRPr="00B65096" w:rsidRDefault="002C3E92" w:rsidP="000337E6">
      <w:pPr>
        <w:spacing w:after="0" w:line="276" w:lineRule="auto"/>
        <w:jc w:val="both"/>
        <w:rPr>
          <w:rFonts w:ascii="Times New Roman" w:eastAsia="Calibri" w:hAnsi="Times New Roman" w:cs="Times New Roman"/>
          <w:sz w:val="24"/>
          <w:szCs w:val="24"/>
        </w:rPr>
      </w:pPr>
    </w:p>
    <w:p w:rsidR="0052247A" w:rsidRPr="00B65096" w:rsidRDefault="005366F0" w:rsidP="004E725E">
      <w:pPr>
        <w:spacing w:after="0" w:line="276" w:lineRule="auto"/>
        <w:jc w:val="both"/>
        <w:rPr>
          <w:rFonts w:ascii="Times New Roman" w:eastAsia="Calibri" w:hAnsi="Times New Roman" w:cs="Times New Roman"/>
          <w:b/>
          <w:bCs/>
          <w:sz w:val="24"/>
          <w:szCs w:val="24"/>
        </w:rPr>
      </w:pPr>
      <w:r w:rsidRPr="00B65096">
        <w:rPr>
          <w:rFonts w:ascii="Times New Roman" w:eastAsia="Calibri" w:hAnsi="Times New Roman" w:cs="Times New Roman"/>
          <w:i/>
          <w:iCs/>
          <w:sz w:val="24"/>
          <w:szCs w:val="24"/>
        </w:rPr>
        <w:t>P</w:t>
      </w:r>
      <w:r w:rsidR="00225EEB" w:rsidRPr="00B65096">
        <w:rPr>
          <w:rFonts w:ascii="Times New Roman" w:eastAsia="Calibri" w:hAnsi="Times New Roman" w:cs="Times New Roman"/>
          <w:i/>
          <w:iCs/>
          <w:sz w:val="24"/>
          <w:szCs w:val="24"/>
        </w:rPr>
        <w:t>omoći dane u inozemstvo i unutar općeg proračuna</w:t>
      </w:r>
      <w:r w:rsidR="004E725E" w:rsidRPr="00B65096">
        <w:rPr>
          <w:rFonts w:ascii="Times New Roman" w:eastAsia="Calibri" w:hAnsi="Times New Roman" w:cs="Times New Roman"/>
          <w:i/>
          <w:iCs/>
          <w:sz w:val="24"/>
          <w:szCs w:val="24"/>
        </w:rPr>
        <w:t xml:space="preserve"> - </w:t>
      </w:r>
      <w:r w:rsidR="004E725E" w:rsidRPr="00B65096">
        <w:rPr>
          <w:rFonts w:ascii="Times New Roman" w:eastAsia="Calibri" w:hAnsi="Times New Roman" w:cs="Times New Roman"/>
          <w:sz w:val="24"/>
          <w:szCs w:val="24"/>
        </w:rPr>
        <w:t>o</w:t>
      </w:r>
      <w:r w:rsidR="00225EEB" w:rsidRPr="00B65096">
        <w:rPr>
          <w:rFonts w:ascii="Times New Roman" w:eastAsia="Calibri" w:hAnsi="Times New Roman" w:cs="Times New Roman"/>
          <w:sz w:val="24"/>
          <w:szCs w:val="24"/>
        </w:rPr>
        <w:t>stvaren</w:t>
      </w:r>
      <w:r w:rsidR="008C5EE2" w:rsidRPr="00B65096">
        <w:rPr>
          <w:rFonts w:ascii="Times New Roman" w:eastAsia="Calibri" w:hAnsi="Times New Roman" w:cs="Times New Roman"/>
          <w:sz w:val="24"/>
          <w:szCs w:val="24"/>
        </w:rPr>
        <w:t>e</w:t>
      </w:r>
      <w:r w:rsidR="00225EEB" w:rsidRPr="00B65096">
        <w:rPr>
          <w:rFonts w:ascii="Times New Roman" w:eastAsia="Calibri" w:hAnsi="Times New Roman" w:cs="Times New Roman"/>
          <w:sz w:val="24"/>
          <w:szCs w:val="24"/>
        </w:rPr>
        <w:t xml:space="preserve"> su u iznosu </w:t>
      </w:r>
      <w:r w:rsidR="00C97349" w:rsidRPr="00B65096">
        <w:rPr>
          <w:rFonts w:ascii="Times New Roman" w:eastAsia="Calibri" w:hAnsi="Times New Roman" w:cs="Times New Roman"/>
          <w:sz w:val="24"/>
          <w:szCs w:val="24"/>
        </w:rPr>
        <w:t xml:space="preserve">od </w:t>
      </w:r>
      <w:r w:rsidR="00225EEB" w:rsidRPr="00B65096">
        <w:rPr>
          <w:rFonts w:ascii="Times New Roman" w:eastAsia="Calibri" w:hAnsi="Times New Roman" w:cs="Times New Roman"/>
          <w:sz w:val="24"/>
          <w:szCs w:val="24"/>
        </w:rPr>
        <w:t>62.648.156</w:t>
      </w:r>
      <w:r w:rsidR="008C5EE2" w:rsidRPr="00B65096">
        <w:rPr>
          <w:rFonts w:ascii="Times New Roman" w:eastAsia="Calibri" w:hAnsi="Times New Roman" w:cs="Times New Roman"/>
          <w:sz w:val="24"/>
          <w:szCs w:val="24"/>
        </w:rPr>
        <w:t xml:space="preserve"> </w:t>
      </w:r>
      <w:r w:rsidR="00225EEB" w:rsidRPr="00B65096">
        <w:rPr>
          <w:rFonts w:ascii="Times New Roman" w:eastAsia="Calibri" w:hAnsi="Times New Roman" w:cs="Times New Roman"/>
          <w:sz w:val="24"/>
          <w:szCs w:val="24"/>
        </w:rPr>
        <w:t>kn</w:t>
      </w:r>
      <w:r w:rsidR="008C5EE2" w:rsidRPr="00B65096">
        <w:rPr>
          <w:rFonts w:ascii="Times New Roman" w:eastAsia="Calibri" w:hAnsi="Times New Roman" w:cs="Times New Roman"/>
          <w:sz w:val="24"/>
          <w:szCs w:val="24"/>
        </w:rPr>
        <w:t xml:space="preserve">, a najveći dio se </w:t>
      </w:r>
      <w:r w:rsidR="00225EEB" w:rsidRPr="00B65096">
        <w:rPr>
          <w:rFonts w:ascii="Times New Roman" w:eastAsia="Calibri" w:hAnsi="Times New Roman" w:cs="Times New Roman"/>
          <w:sz w:val="24"/>
          <w:szCs w:val="24"/>
        </w:rPr>
        <w:t>odnos</w:t>
      </w:r>
      <w:r w:rsidR="008C5EE2" w:rsidRPr="00B65096">
        <w:rPr>
          <w:rFonts w:ascii="Times New Roman" w:eastAsia="Calibri" w:hAnsi="Times New Roman" w:cs="Times New Roman"/>
          <w:sz w:val="24"/>
          <w:szCs w:val="24"/>
        </w:rPr>
        <w:t xml:space="preserve">i </w:t>
      </w:r>
      <w:r w:rsidR="00225EEB" w:rsidRPr="00B65096">
        <w:rPr>
          <w:rFonts w:ascii="Times New Roman" w:eastAsia="Calibri" w:hAnsi="Times New Roman" w:cs="Times New Roman"/>
          <w:sz w:val="24"/>
          <w:szCs w:val="24"/>
        </w:rPr>
        <w:t>na prijenose proračunskim korisnicima Grada za financiranje redovne djelatnosti u iznosu</w:t>
      </w:r>
      <w:r w:rsidR="008C5EE2" w:rsidRPr="00B65096">
        <w:rPr>
          <w:rFonts w:ascii="Times New Roman" w:eastAsia="Calibri" w:hAnsi="Times New Roman" w:cs="Times New Roman"/>
          <w:sz w:val="24"/>
          <w:szCs w:val="24"/>
        </w:rPr>
        <w:t xml:space="preserve"> od </w:t>
      </w:r>
      <w:r w:rsidR="00225EEB" w:rsidRPr="00B65096">
        <w:rPr>
          <w:rFonts w:ascii="Times New Roman" w:eastAsia="Calibri" w:hAnsi="Times New Roman" w:cs="Times New Roman"/>
          <w:sz w:val="24"/>
          <w:szCs w:val="24"/>
        </w:rPr>
        <w:t xml:space="preserve"> 58.595.016</w:t>
      </w:r>
      <w:r w:rsidR="008C5EE2" w:rsidRPr="00B65096">
        <w:rPr>
          <w:rFonts w:ascii="Times New Roman" w:eastAsia="Calibri" w:hAnsi="Times New Roman" w:cs="Times New Roman"/>
          <w:sz w:val="24"/>
          <w:szCs w:val="24"/>
        </w:rPr>
        <w:t>. kn</w:t>
      </w:r>
      <w:r w:rsidR="00C97349" w:rsidRPr="00B65096">
        <w:rPr>
          <w:rFonts w:ascii="Times New Roman" w:eastAsia="Calibri" w:hAnsi="Times New Roman" w:cs="Times New Roman"/>
          <w:sz w:val="24"/>
          <w:szCs w:val="24"/>
        </w:rPr>
        <w:t xml:space="preserve"> koji se evidentiraju po novčanom tijeku, što je </w:t>
      </w:r>
      <w:r w:rsidR="00B51C41" w:rsidRPr="00B65096">
        <w:rPr>
          <w:rFonts w:ascii="Times New Roman" w:eastAsia="Calibri" w:hAnsi="Times New Roman" w:cs="Times New Roman"/>
          <w:sz w:val="24"/>
          <w:szCs w:val="24"/>
        </w:rPr>
        <w:t xml:space="preserve">također </w:t>
      </w:r>
      <w:r w:rsidR="00C97349" w:rsidRPr="00B65096">
        <w:rPr>
          <w:rFonts w:ascii="Times New Roman" w:eastAsia="Calibri" w:hAnsi="Times New Roman" w:cs="Times New Roman"/>
          <w:sz w:val="24"/>
          <w:szCs w:val="24"/>
        </w:rPr>
        <w:t xml:space="preserve">dokaz </w:t>
      </w:r>
      <w:r w:rsidR="004E0DEE" w:rsidRPr="00B65096">
        <w:rPr>
          <w:rFonts w:ascii="Times New Roman" w:eastAsia="Calibri" w:hAnsi="Times New Roman" w:cs="Times New Roman"/>
          <w:sz w:val="24"/>
          <w:szCs w:val="24"/>
        </w:rPr>
        <w:t>povećane</w:t>
      </w:r>
      <w:r w:rsidR="00C97349" w:rsidRPr="00B65096">
        <w:rPr>
          <w:rFonts w:ascii="Times New Roman" w:eastAsia="Calibri" w:hAnsi="Times New Roman" w:cs="Times New Roman"/>
          <w:sz w:val="24"/>
          <w:szCs w:val="24"/>
        </w:rPr>
        <w:t xml:space="preserve"> likvidnosti sredstava.</w:t>
      </w:r>
    </w:p>
    <w:p w:rsidR="00DE5491" w:rsidRPr="00B65096" w:rsidRDefault="00DE5491" w:rsidP="00AF5BB9">
      <w:pPr>
        <w:pStyle w:val="Odlomakpopisa"/>
        <w:tabs>
          <w:tab w:val="left" w:pos="914"/>
        </w:tabs>
        <w:ind w:left="0"/>
        <w:jc w:val="both"/>
        <w:rPr>
          <w:rFonts w:ascii="Times New Roman" w:eastAsia="Calibri" w:hAnsi="Times New Roman" w:cs="Times New Roman"/>
          <w:b/>
          <w:bCs/>
          <w:sz w:val="24"/>
          <w:szCs w:val="24"/>
        </w:rPr>
      </w:pPr>
    </w:p>
    <w:p w:rsidR="00252D6B" w:rsidRPr="00B65096" w:rsidRDefault="00225EEB" w:rsidP="00252D6B">
      <w:pPr>
        <w:pStyle w:val="Odlomakpopisa"/>
        <w:tabs>
          <w:tab w:val="left" w:pos="914"/>
        </w:tabs>
        <w:ind w:left="0"/>
        <w:jc w:val="both"/>
        <w:rPr>
          <w:rFonts w:ascii="Times New Roman" w:eastAsia="Calibri" w:hAnsi="Times New Roman" w:cs="Times New Roman"/>
          <w:sz w:val="24"/>
          <w:szCs w:val="24"/>
        </w:rPr>
      </w:pPr>
      <w:r w:rsidRPr="00B65096">
        <w:rPr>
          <w:rFonts w:ascii="Times New Roman" w:eastAsia="Calibri" w:hAnsi="Times New Roman" w:cs="Times New Roman"/>
          <w:i/>
          <w:iCs/>
          <w:sz w:val="24"/>
          <w:szCs w:val="24"/>
        </w:rPr>
        <w:t xml:space="preserve">Naknade građanima i kućanstvima </w:t>
      </w:r>
      <w:r w:rsidR="004E725E" w:rsidRPr="00B65096">
        <w:rPr>
          <w:rFonts w:ascii="Times New Roman" w:eastAsia="Calibri" w:hAnsi="Times New Roman" w:cs="Times New Roman"/>
          <w:i/>
          <w:iCs/>
          <w:sz w:val="24"/>
          <w:szCs w:val="24"/>
        </w:rPr>
        <w:t>-</w:t>
      </w:r>
      <w:r w:rsidR="004E725E" w:rsidRPr="00B65096">
        <w:rPr>
          <w:rFonts w:ascii="Times New Roman" w:eastAsia="Calibri" w:hAnsi="Times New Roman" w:cs="Times New Roman"/>
          <w:sz w:val="24"/>
          <w:szCs w:val="24"/>
        </w:rPr>
        <w:t xml:space="preserve"> o</w:t>
      </w:r>
      <w:r w:rsidR="00AF5BB9" w:rsidRPr="00B65096">
        <w:rPr>
          <w:rFonts w:ascii="Times New Roman" w:eastAsia="Calibri" w:hAnsi="Times New Roman" w:cs="Times New Roman"/>
          <w:sz w:val="24"/>
          <w:szCs w:val="24"/>
        </w:rPr>
        <w:t>stvaren</w:t>
      </w:r>
      <w:r w:rsidR="00CC1B84" w:rsidRPr="00B65096">
        <w:rPr>
          <w:rFonts w:ascii="Times New Roman" w:eastAsia="Calibri" w:hAnsi="Times New Roman" w:cs="Times New Roman"/>
          <w:sz w:val="24"/>
          <w:szCs w:val="24"/>
        </w:rPr>
        <w:t>e</w:t>
      </w:r>
      <w:r w:rsidR="00AF5BB9" w:rsidRPr="00B65096">
        <w:rPr>
          <w:rFonts w:ascii="Times New Roman" w:eastAsia="Calibri" w:hAnsi="Times New Roman" w:cs="Times New Roman"/>
          <w:sz w:val="24"/>
          <w:szCs w:val="24"/>
        </w:rPr>
        <w:t xml:space="preserve"> su u iznosu od </w:t>
      </w:r>
      <w:r w:rsidR="00CC1B84" w:rsidRPr="00B65096">
        <w:rPr>
          <w:rFonts w:ascii="Times New Roman" w:eastAsia="Calibri" w:hAnsi="Times New Roman" w:cs="Times New Roman"/>
          <w:sz w:val="24"/>
          <w:szCs w:val="24"/>
        </w:rPr>
        <w:t xml:space="preserve">3.782.392 </w:t>
      </w:r>
      <w:r w:rsidR="00AF5BB9" w:rsidRPr="00B65096">
        <w:rPr>
          <w:rFonts w:ascii="Times New Roman" w:eastAsia="Calibri" w:hAnsi="Times New Roman" w:cs="Times New Roman"/>
          <w:sz w:val="24"/>
          <w:szCs w:val="24"/>
        </w:rPr>
        <w:t>kn, a odnose se prvenstveno na sve naknade u sklopu socijalnog programa</w:t>
      </w:r>
      <w:r w:rsidR="00F970AC" w:rsidRPr="00B65096">
        <w:rPr>
          <w:rFonts w:ascii="Times New Roman" w:eastAsia="Calibri" w:hAnsi="Times New Roman" w:cs="Times New Roman"/>
          <w:sz w:val="24"/>
          <w:szCs w:val="24"/>
        </w:rPr>
        <w:t xml:space="preserve">, te su manje za </w:t>
      </w:r>
      <w:r w:rsidR="000F3E83" w:rsidRPr="00B65096">
        <w:rPr>
          <w:rFonts w:ascii="Times New Roman" w:eastAsia="Calibri" w:hAnsi="Times New Roman" w:cs="Times New Roman"/>
          <w:sz w:val="24"/>
          <w:szCs w:val="24"/>
        </w:rPr>
        <w:t>126.663 kn.</w:t>
      </w:r>
    </w:p>
    <w:p w:rsidR="00CF75EA" w:rsidRPr="00B65096" w:rsidRDefault="00CF75EA" w:rsidP="00CF75EA">
      <w:pPr>
        <w:pStyle w:val="Odlomakpopisa"/>
        <w:tabs>
          <w:tab w:val="left" w:pos="914"/>
        </w:tabs>
        <w:spacing w:after="0"/>
        <w:ind w:left="0"/>
        <w:jc w:val="both"/>
        <w:rPr>
          <w:rFonts w:ascii="Times New Roman" w:eastAsia="Calibri" w:hAnsi="Times New Roman" w:cs="Times New Roman"/>
          <w:sz w:val="24"/>
          <w:szCs w:val="24"/>
        </w:rPr>
      </w:pPr>
    </w:p>
    <w:p w:rsidR="00962C49" w:rsidRPr="00B65096" w:rsidRDefault="00225EEB" w:rsidP="004E725E">
      <w:pPr>
        <w:spacing w:after="0" w:line="276" w:lineRule="auto"/>
        <w:jc w:val="both"/>
        <w:rPr>
          <w:rFonts w:ascii="Times New Roman" w:hAnsi="Times New Roman"/>
          <w:sz w:val="24"/>
          <w:szCs w:val="24"/>
        </w:rPr>
      </w:pPr>
      <w:r w:rsidRPr="00B65096">
        <w:rPr>
          <w:rFonts w:ascii="Times New Roman" w:eastAsia="Calibri" w:hAnsi="Times New Roman" w:cs="Times New Roman"/>
          <w:i/>
          <w:iCs/>
          <w:sz w:val="24"/>
          <w:szCs w:val="24"/>
        </w:rPr>
        <w:t>Ostali rashodi</w:t>
      </w:r>
      <w:r w:rsidR="004E725E" w:rsidRPr="00B65096">
        <w:rPr>
          <w:rFonts w:ascii="Times New Roman" w:eastAsia="Calibri" w:hAnsi="Times New Roman" w:cs="Times New Roman"/>
          <w:i/>
          <w:iCs/>
          <w:sz w:val="24"/>
          <w:szCs w:val="24"/>
        </w:rPr>
        <w:t xml:space="preserve"> -</w:t>
      </w:r>
      <w:r w:rsidR="004E725E" w:rsidRPr="00B65096">
        <w:rPr>
          <w:rFonts w:ascii="Times New Roman" w:eastAsia="Calibri" w:hAnsi="Times New Roman" w:cs="Times New Roman"/>
          <w:sz w:val="24"/>
          <w:szCs w:val="24"/>
        </w:rPr>
        <w:t xml:space="preserve"> </w:t>
      </w:r>
      <w:r w:rsidR="004E725E" w:rsidRPr="00B65096">
        <w:rPr>
          <w:rFonts w:ascii="Times New Roman" w:hAnsi="Times New Roman"/>
          <w:sz w:val="24"/>
          <w:szCs w:val="24"/>
        </w:rPr>
        <w:t>o</w:t>
      </w:r>
      <w:r w:rsidR="00A37947" w:rsidRPr="00B65096">
        <w:rPr>
          <w:rFonts w:ascii="Times New Roman" w:hAnsi="Times New Roman"/>
          <w:sz w:val="24"/>
          <w:szCs w:val="24"/>
        </w:rPr>
        <w:t>stali rashodi</w:t>
      </w:r>
      <w:r w:rsidR="00A666ED" w:rsidRPr="00B65096">
        <w:rPr>
          <w:rFonts w:ascii="Times New Roman" w:hAnsi="Times New Roman"/>
          <w:sz w:val="24"/>
          <w:szCs w:val="24"/>
        </w:rPr>
        <w:t xml:space="preserve"> </w:t>
      </w:r>
      <w:r w:rsidR="00962C49" w:rsidRPr="00B65096">
        <w:rPr>
          <w:rFonts w:ascii="Times New Roman" w:hAnsi="Times New Roman"/>
          <w:sz w:val="24"/>
          <w:szCs w:val="24"/>
        </w:rPr>
        <w:t>su ostvareni za 2.596.439 kn više zbog troškova sufinanciranja</w:t>
      </w:r>
    </w:p>
    <w:p w:rsidR="00962C49" w:rsidRPr="00B65096" w:rsidRDefault="00962C49" w:rsidP="004E725E">
      <w:pPr>
        <w:spacing w:after="0" w:line="276" w:lineRule="auto"/>
        <w:jc w:val="both"/>
        <w:rPr>
          <w:rFonts w:ascii="Times New Roman" w:hAnsi="Times New Roman"/>
          <w:sz w:val="24"/>
          <w:szCs w:val="24"/>
        </w:rPr>
      </w:pPr>
      <w:r w:rsidRPr="00B65096">
        <w:rPr>
          <w:rFonts w:ascii="Times New Roman" w:hAnsi="Times New Roman"/>
          <w:sz w:val="24"/>
          <w:szCs w:val="24"/>
        </w:rPr>
        <w:t>Projekta izgradnje podzemne garaže Poljan</w:t>
      </w:r>
      <w:r w:rsidR="00CD49C3">
        <w:rPr>
          <w:rFonts w:ascii="Times New Roman" w:hAnsi="Times New Roman"/>
          <w:sz w:val="24"/>
          <w:szCs w:val="24"/>
        </w:rPr>
        <w:t>a,</w:t>
      </w:r>
      <w:r w:rsidR="00C52AE8">
        <w:rPr>
          <w:rFonts w:ascii="Times New Roman" w:hAnsi="Times New Roman"/>
          <w:sz w:val="24"/>
          <w:szCs w:val="24"/>
        </w:rPr>
        <w:t xml:space="preserve"> </w:t>
      </w:r>
      <w:r w:rsidR="00B56429" w:rsidRPr="00B65096">
        <w:rPr>
          <w:rFonts w:ascii="Times New Roman" w:hAnsi="Times New Roman"/>
          <w:sz w:val="24"/>
          <w:szCs w:val="24"/>
        </w:rPr>
        <w:t>kojih u 2017. godini nije bilo.</w:t>
      </w:r>
    </w:p>
    <w:p w:rsidR="00604430" w:rsidRPr="00B65096" w:rsidRDefault="00604430" w:rsidP="00604430">
      <w:pPr>
        <w:spacing w:after="0" w:line="276" w:lineRule="auto"/>
        <w:jc w:val="both"/>
        <w:rPr>
          <w:rFonts w:ascii="Times New Roman" w:eastAsia="Calibri" w:hAnsi="Times New Roman" w:cs="Times New Roman"/>
          <w:sz w:val="24"/>
          <w:szCs w:val="24"/>
        </w:rPr>
      </w:pPr>
    </w:p>
    <w:p w:rsidR="00207F24" w:rsidRPr="00B65096" w:rsidRDefault="00225EEB" w:rsidP="00995167">
      <w:pPr>
        <w:spacing w:after="0" w:line="276" w:lineRule="auto"/>
        <w:jc w:val="both"/>
        <w:rPr>
          <w:rFonts w:ascii="Times New Roman" w:eastAsia="Calibri" w:hAnsi="Times New Roman" w:cs="Times New Roman"/>
          <w:sz w:val="24"/>
          <w:szCs w:val="24"/>
        </w:rPr>
      </w:pPr>
      <w:r w:rsidRPr="00B65096">
        <w:rPr>
          <w:rFonts w:ascii="Times New Roman" w:eastAsia="Calibri" w:hAnsi="Times New Roman" w:cs="Times New Roman"/>
          <w:i/>
          <w:iCs/>
          <w:sz w:val="24"/>
          <w:szCs w:val="24"/>
        </w:rPr>
        <w:t xml:space="preserve"> Rashodi za nabavu nefinancijske imovine </w:t>
      </w:r>
      <w:r w:rsidR="00A47911" w:rsidRPr="00B65096">
        <w:rPr>
          <w:rFonts w:ascii="Times New Roman" w:eastAsia="Calibri" w:hAnsi="Times New Roman" w:cs="Times New Roman"/>
          <w:i/>
          <w:iCs/>
          <w:sz w:val="24"/>
          <w:szCs w:val="24"/>
        </w:rPr>
        <w:t>–</w:t>
      </w:r>
      <w:r w:rsidR="00F30D33" w:rsidRPr="00B65096">
        <w:rPr>
          <w:rFonts w:ascii="Times New Roman" w:eastAsia="Calibri" w:hAnsi="Times New Roman" w:cs="Times New Roman"/>
          <w:sz w:val="24"/>
          <w:szCs w:val="24"/>
        </w:rPr>
        <w:t xml:space="preserve"> </w:t>
      </w:r>
      <w:r w:rsidR="00D3593B" w:rsidRPr="00B65096">
        <w:rPr>
          <w:rFonts w:ascii="Times New Roman" w:eastAsia="Calibri" w:hAnsi="Times New Roman" w:cs="Times New Roman"/>
          <w:sz w:val="24"/>
          <w:szCs w:val="24"/>
        </w:rPr>
        <w:t xml:space="preserve">ukupno </w:t>
      </w:r>
      <w:r w:rsidR="00A47911" w:rsidRPr="00B65096">
        <w:rPr>
          <w:rFonts w:ascii="Times New Roman" w:eastAsia="Calibri" w:hAnsi="Times New Roman" w:cs="Times New Roman"/>
          <w:sz w:val="24"/>
          <w:szCs w:val="24"/>
        </w:rPr>
        <w:t>ostvarenje je za 6.637.929 kn manje u odnosu na 2017. godinu</w:t>
      </w:r>
      <w:r w:rsidR="008B6674" w:rsidRPr="00B65096">
        <w:rPr>
          <w:rFonts w:ascii="Times New Roman" w:eastAsia="Calibri" w:hAnsi="Times New Roman" w:cs="Times New Roman"/>
          <w:sz w:val="24"/>
          <w:szCs w:val="24"/>
        </w:rPr>
        <w:t>,</w:t>
      </w:r>
      <w:r w:rsidR="00D64AD2" w:rsidRPr="00B65096">
        <w:rPr>
          <w:rFonts w:ascii="Times New Roman" w:eastAsia="Calibri" w:hAnsi="Times New Roman" w:cs="Times New Roman"/>
          <w:sz w:val="24"/>
          <w:szCs w:val="24"/>
        </w:rPr>
        <w:t xml:space="preserve"> a najvećim dijelom zbog </w:t>
      </w:r>
      <w:r w:rsidR="00BA128F" w:rsidRPr="00B65096">
        <w:rPr>
          <w:rFonts w:ascii="Times New Roman" w:eastAsia="Calibri" w:hAnsi="Times New Roman" w:cs="Times New Roman"/>
          <w:sz w:val="24"/>
          <w:szCs w:val="24"/>
        </w:rPr>
        <w:t xml:space="preserve">uređenja gradske plaže Brodarica </w:t>
      </w:r>
      <w:r w:rsidR="00D64AD2" w:rsidRPr="00B65096">
        <w:rPr>
          <w:rFonts w:ascii="Times New Roman" w:eastAsia="Calibri" w:hAnsi="Times New Roman" w:cs="Times New Roman"/>
          <w:sz w:val="24"/>
          <w:szCs w:val="24"/>
        </w:rPr>
        <w:t>u 2017. godini</w:t>
      </w:r>
      <w:r w:rsidR="00BA128F" w:rsidRPr="00B65096">
        <w:rPr>
          <w:rFonts w:ascii="Times New Roman" w:eastAsia="Calibri" w:hAnsi="Times New Roman" w:cs="Times New Roman"/>
          <w:sz w:val="24"/>
          <w:szCs w:val="24"/>
        </w:rPr>
        <w:t>.</w:t>
      </w:r>
      <w:r w:rsidR="00604430" w:rsidRPr="00B65096">
        <w:rPr>
          <w:rFonts w:ascii="Times New Roman" w:eastAsia="Calibri" w:hAnsi="Times New Roman" w:cs="Times New Roman"/>
          <w:sz w:val="24"/>
          <w:szCs w:val="24"/>
        </w:rPr>
        <w:t xml:space="preserve"> </w:t>
      </w:r>
      <w:r w:rsidR="003F3F76" w:rsidRPr="00B65096">
        <w:rPr>
          <w:rFonts w:ascii="Times New Roman" w:eastAsia="Calibri" w:hAnsi="Times New Roman" w:cs="Times New Roman"/>
          <w:sz w:val="24"/>
          <w:szCs w:val="24"/>
        </w:rPr>
        <w:t>R</w:t>
      </w:r>
      <w:r w:rsidR="00207F24" w:rsidRPr="00B65096">
        <w:rPr>
          <w:rFonts w:ascii="Times New Roman" w:eastAsia="Calibri" w:hAnsi="Times New Roman" w:cs="Times New Roman"/>
          <w:sz w:val="24"/>
          <w:szCs w:val="24"/>
        </w:rPr>
        <w:t>ashodi za dodatna ulaganja na nefinancijskoj imovini</w:t>
      </w:r>
      <w:r w:rsidR="0081235B" w:rsidRPr="00B65096">
        <w:rPr>
          <w:rFonts w:ascii="Times New Roman" w:eastAsia="Calibri" w:hAnsi="Times New Roman" w:cs="Times New Roman"/>
          <w:sz w:val="24"/>
          <w:szCs w:val="24"/>
        </w:rPr>
        <w:t xml:space="preserve"> </w:t>
      </w:r>
      <w:r w:rsidR="00207F24" w:rsidRPr="00B65096">
        <w:rPr>
          <w:rFonts w:ascii="Times New Roman" w:eastAsia="Calibri" w:hAnsi="Times New Roman" w:cs="Times New Roman"/>
          <w:sz w:val="24"/>
          <w:szCs w:val="24"/>
        </w:rPr>
        <w:t xml:space="preserve">su izvršeni </w:t>
      </w:r>
      <w:r w:rsidR="0081235B" w:rsidRPr="00B65096">
        <w:rPr>
          <w:rFonts w:ascii="Times New Roman" w:eastAsia="Calibri" w:hAnsi="Times New Roman" w:cs="Times New Roman"/>
          <w:sz w:val="24"/>
          <w:szCs w:val="24"/>
        </w:rPr>
        <w:t xml:space="preserve">za </w:t>
      </w:r>
      <w:r w:rsidR="00604430" w:rsidRPr="00B65096">
        <w:rPr>
          <w:rFonts w:ascii="Times New Roman" w:eastAsia="Calibri" w:hAnsi="Times New Roman" w:cs="Times New Roman"/>
          <w:sz w:val="24"/>
          <w:szCs w:val="24"/>
        </w:rPr>
        <w:t>3.404.469 kn</w:t>
      </w:r>
      <w:r w:rsidR="00995167" w:rsidRPr="00B65096">
        <w:rPr>
          <w:rFonts w:ascii="Times New Roman" w:eastAsia="Calibri" w:hAnsi="Times New Roman" w:cs="Times New Roman"/>
          <w:sz w:val="24"/>
          <w:szCs w:val="24"/>
        </w:rPr>
        <w:t xml:space="preserve"> više zbog e</w:t>
      </w:r>
      <w:r w:rsidR="00207F24" w:rsidRPr="00B65096">
        <w:rPr>
          <w:rFonts w:ascii="Times New Roman" w:eastAsia="Calibri" w:hAnsi="Times New Roman" w:cs="Times New Roman"/>
          <w:sz w:val="24"/>
          <w:szCs w:val="24"/>
        </w:rPr>
        <w:t>nergetsk</w:t>
      </w:r>
      <w:r w:rsidR="00995167" w:rsidRPr="00B65096">
        <w:rPr>
          <w:rFonts w:ascii="Times New Roman" w:eastAsia="Calibri" w:hAnsi="Times New Roman" w:cs="Times New Roman"/>
          <w:sz w:val="24"/>
          <w:szCs w:val="24"/>
        </w:rPr>
        <w:t xml:space="preserve">e obnove </w:t>
      </w:r>
      <w:r w:rsidR="00874594" w:rsidRPr="00B65096">
        <w:rPr>
          <w:rFonts w:ascii="Times New Roman" w:eastAsia="Calibri" w:hAnsi="Times New Roman" w:cs="Times New Roman"/>
          <w:sz w:val="24"/>
          <w:szCs w:val="24"/>
        </w:rPr>
        <w:t>vrtića i škola</w:t>
      </w:r>
      <w:r w:rsidR="00995167" w:rsidRPr="00B65096">
        <w:rPr>
          <w:rFonts w:ascii="Times New Roman" w:eastAsia="Calibri" w:hAnsi="Times New Roman" w:cs="Times New Roman"/>
          <w:sz w:val="24"/>
          <w:szCs w:val="24"/>
        </w:rPr>
        <w:t xml:space="preserve"> pretežno iz vanjskih izvora financiranja.</w:t>
      </w:r>
    </w:p>
    <w:p w:rsidR="00CF75EA" w:rsidRPr="00B65096" w:rsidRDefault="00CF75EA" w:rsidP="00356077">
      <w:pPr>
        <w:tabs>
          <w:tab w:val="left" w:pos="709"/>
        </w:tabs>
        <w:spacing w:after="200" w:line="276" w:lineRule="auto"/>
        <w:contextualSpacing/>
        <w:jc w:val="both"/>
        <w:rPr>
          <w:rFonts w:ascii="Times New Roman" w:eastAsia="Calibri" w:hAnsi="Times New Roman" w:cs="Times New Roman"/>
          <w:sz w:val="24"/>
          <w:szCs w:val="24"/>
        </w:rPr>
      </w:pPr>
    </w:p>
    <w:p w:rsidR="00A34AB6" w:rsidRPr="00B65096" w:rsidRDefault="0052247A" w:rsidP="000337E6">
      <w:pPr>
        <w:spacing w:after="0" w:line="276" w:lineRule="auto"/>
        <w:jc w:val="both"/>
        <w:rPr>
          <w:rFonts w:ascii="Times New Roman" w:eastAsia="Calibri" w:hAnsi="Times New Roman" w:cs="Times New Roman"/>
          <w:b/>
          <w:bCs/>
          <w:sz w:val="24"/>
          <w:szCs w:val="24"/>
        </w:rPr>
      </w:pPr>
      <w:r w:rsidRPr="00B65096">
        <w:rPr>
          <w:rFonts w:ascii="Times New Roman" w:eastAsia="Calibri" w:hAnsi="Times New Roman" w:cs="Times New Roman"/>
          <w:i/>
          <w:iCs/>
          <w:sz w:val="24"/>
          <w:szCs w:val="24"/>
        </w:rPr>
        <w:t>I</w:t>
      </w:r>
      <w:r w:rsidR="00225EEB" w:rsidRPr="00B65096">
        <w:rPr>
          <w:rFonts w:ascii="Times New Roman" w:eastAsia="Calibri" w:hAnsi="Times New Roman" w:cs="Times New Roman"/>
          <w:i/>
          <w:iCs/>
          <w:sz w:val="24"/>
          <w:szCs w:val="24"/>
        </w:rPr>
        <w:t>zdaci za financijsku imovinu i otplate zajmova</w:t>
      </w:r>
      <w:r w:rsidR="003B2369" w:rsidRPr="00B65096">
        <w:rPr>
          <w:rFonts w:ascii="Times New Roman" w:eastAsia="Calibri" w:hAnsi="Times New Roman" w:cs="Times New Roman"/>
          <w:i/>
          <w:iCs/>
          <w:sz w:val="24"/>
          <w:szCs w:val="24"/>
        </w:rPr>
        <w:t xml:space="preserve"> -</w:t>
      </w:r>
      <w:r w:rsidR="003B2369" w:rsidRPr="00B65096">
        <w:rPr>
          <w:rFonts w:ascii="Times New Roman" w:eastAsia="Calibri" w:hAnsi="Times New Roman" w:cs="Times New Roman"/>
          <w:b/>
          <w:bCs/>
          <w:sz w:val="24"/>
          <w:szCs w:val="24"/>
        </w:rPr>
        <w:t xml:space="preserve"> </w:t>
      </w:r>
      <w:r w:rsidR="003B2369" w:rsidRPr="00B65096">
        <w:rPr>
          <w:rFonts w:ascii="Times New Roman" w:eastAsia="Calibri" w:hAnsi="Times New Roman" w:cs="Times New Roman"/>
          <w:sz w:val="24"/>
          <w:szCs w:val="24"/>
        </w:rPr>
        <w:t>o</w:t>
      </w:r>
      <w:r w:rsidR="00225EEB" w:rsidRPr="00B65096">
        <w:rPr>
          <w:rFonts w:ascii="Times New Roman" w:eastAsia="Calibri" w:hAnsi="Times New Roman" w:cs="Times New Roman"/>
          <w:sz w:val="24"/>
          <w:szCs w:val="24"/>
        </w:rPr>
        <w:t xml:space="preserve">stvareni su u </w:t>
      </w:r>
      <w:r w:rsidR="00401B03" w:rsidRPr="00B65096">
        <w:rPr>
          <w:rFonts w:ascii="Times New Roman" w:eastAsia="Calibri" w:hAnsi="Times New Roman" w:cs="Times New Roman"/>
          <w:sz w:val="24"/>
          <w:szCs w:val="24"/>
        </w:rPr>
        <w:t>na približno jednakoj razini kao i u 2017. godini, a u</w:t>
      </w:r>
      <w:r w:rsidR="00225EEB" w:rsidRPr="00B65096">
        <w:rPr>
          <w:rFonts w:ascii="Times New Roman" w:eastAsia="Calibri" w:hAnsi="Times New Roman" w:cs="Times New Roman"/>
          <w:sz w:val="24"/>
          <w:szCs w:val="24"/>
        </w:rPr>
        <w:t xml:space="preserve"> vrijednosno značajnijim iznosima odnose se na izdatke za otplatu glavnice dugoročnih kredita iz ranijih godina,</w:t>
      </w:r>
      <w:r w:rsidR="00401B03" w:rsidRPr="00B65096">
        <w:rPr>
          <w:rFonts w:ascii="Times New Roman" w:eastAsia="Calibri" w:hAnsi="Times New Roman" w:cs="Times New Roman"/>
          <w:sz w:val="24"/>
          <w:szCs w:val="24"/>
        </w:rPr>
        <w:t xml:space="preserve"> na otplatu</w:t>
      </w:r>
      <w:r w:rsidR="00225EEB" w:rsidRPr="00B65096">
        <w:rPr>
          <w:rFonts w:ascii="Times New Roman" w:eastAsia="Calibri" w:hAnsi="Times New Roman" w:cs="Times New Roman"/>
          <w:sz w:val="24"/>
          <w:szCs w:val="24"/>
        </w:rPr>
        <w:t xml:space="preserve"> </w:t>
      </w:r>
      <w:proofErr w:type="spellStart"/>
      <w:r w:rsidR="00225EEB" w:rsidRPr="00B65096">
        <w:rPr>
          <w:rFonts w:ascii="Times New Roman" w:eastAsia="Calibri" w:hAnsi="Times New Roman" w:cs="Times New Roman"/>
          <w:sz w:val="24"/>
          <w:szCs w:val="24"/>
        </w:rPr>
        <w:t>faktoring</w:t>
      </w:r>
      <w:r w:rsidR="00401B03" w:rsidRPr="00B65096">
        <w:rPr>
          <w:rFonts w:ascii="Times New Roman" w:eastAsia="Calibri" w:hAnsi="Times New Roman" w:cs="Times New Roman"/>
          <w:sz w:val="24"/>
          <w:szCs w:val="24"/>
        </w:rPr>
        <w:t>a</w:t>
      </w:r>
      <w:proofErr w:type="spellEnd"/>
      <w:r w:rsidR="00225EEB" w:rsidRPr="00B65096">
        <w:rPr>
          <w:rFonts w:ascii="Times New Roman" w:eastAsia="Calibri" w:hAnsi="Times New Roman" w:cs="Times New Roman"/>
          <w:sz w:val="24"/>
          <w:szCs w:val="24"/>
        </w:rPr>
        <w:t xml:space="preserve"> iz 2017. i 2018.</w:t>
      </w:r>
      <w:r w:rsidR="00CF75EA" w:rsidRPr="00B65096">
        <w:rPr>
          <w:rFonts w:ascii="Times New Roman" w:eastAsia="Calibri" w:hAnsi="Times New Roman" w:cs="Times New Roman"/>
          <w:sz w:val="24"/>
          <w:szCs w:val="24"/>
        </w:rPr>
        <w:t xml:space="preserve"> godine</w:t>
      </w:r>
      <w:r w:rsidR="00225EEB" w:rsidRPr="00B65096">
        <w:rPr>
          <w:rFonts w:ascii="Times New Roman" w:eastAsia="Calibri" w:hAnsi="Times New Roman" w:cs="Times New Roman"/>
          <w:sz w:val="24"/>
          <w:szCs w:val="24"/>
        </w:rPr>
        <w:t xml:space="preserve"> te na dani kratkoročni zajam u 2018. </w:t>
      </w:r>
      <w:r w:rsidR="004A565D" w:rsidRPr="00B65096">
        <w:rPr>
          <w:rFonts w:ascii="Times New Roman" w:eastAsia="Calibri" w:hAnsi="Times New Roman" w:cs="Times New Roman"/>
          <w:sz w:val="24"/>
          <w:szCs w:val="24"/>
        </w:rPr>
        <w:t xml:space="preserve">godini </w:t>
      </w:r>
      <w:r w:rsidR="00225EEB" w:rsidRPr="00B65096">
        <w:rPr>
          <w:rFonts w:ascii="Times New Roman" w:eastAsia="Calibri" w:hAnsi="Times New Roman" w:cs="Times New Roman"/>
          <w:sz w:val="24"/>
          <w:szCs w:val="24"/>
        </w:rPr>
        <w:t>trgovačkom društvu</w:t>
      </w:r>
      <w:r w:rsidR="00D921D5" w:rsidRPr="00B65096">
        <w:rPr>
          <w:rFonts w:ascii="Times New Roman" w:eastAsia="Calibri" w:hAnsi="Times New Roman" w:cs="Times New Roman"/>
          <w:sz w:val="24"/>
          <w:szCs w:val="24"/>
        </w:rPr>
        <w:t xml:space="preserve"> </w:t>
      </w:r>
      <w:r w:rsidR="00225EEB" w:rsidRPr="00B65096">
        <w:rPr>
          <w:rFonts w:ascii="Times New Roman" w:eastAsia="Calibri" w:hAnsi="Times New Roman" w:cs="Times New Roman"/>
          <w:sz w:val="24"/>
          <w:szCs w:val="24"/>
        </w:rPr>
        <w:t>u vlasništvu Grada</w:t>
      </w:r>
      <w:r w:rsidR="00454C28" w:rsidRPr="00B65096">
        <w:rPr>
          <w:rFonts w:ascii="Times New Roman" w:eastAsia="Calibri" w:hAnsi="Times New Roman" w:cs="Times New Roman"/>
          <w:sz w:val="24"/>
          <w:szCs w:val="24"/>
        </w:rPr>
        <w:t xml:space="preserve"> </w:t>
      </w:r>
      <w:r w:rsidR="00225EEB" w:rsidRPr="00B65096">
        <w:rPr>
          <w:rFonts w:ascii="Times New Roman" w:eastAsia="Calibri" w:hAnsi="Times New Roman" w:cs="Times New Roman"/>
          <w:sz w:val="24"/>
          <w:szCs w:val="24"/>
        </w:rPr>
        <w:t>za izradu razvojnog projekta.</w:t>
      </w:r>
    </w:p>
    <w:p w:rsidR="00CF75EA" w:rsidRPr="00B65096" w:rsidRDefault="00CF75EA" w:rsidP="000337E6">
      <w:pPr>
        <w:spacing w:after="0" w:line="276" w:lineRule="auto"/>
        <w:jc w:val="both"/>
        <w:rPr>
          <w:rFonts w:ascii="Times New Roman" w:eastAsia="Calibri" w:hAnsi="Times New Roman" w:cs="Times New Roman"/>
          <w:sz w:val="24"/>
          <w:szCs w:val="24"/>
        </w:rPr>
      </w:pPr>
    </w:p>
    <w:p w:rsidR="00331D44" w:rsidRPr="00B65096" w:rsidRDefault="005715E5" w:rsidP="000F0498">
      <w:pPr>
        <w:pStyle w:val="Odlomakpopisa"/>
        <w:numPr>
          <w:ilvl w:val="0"/>
          <w:numId w:val="8"/>
        </w:numPr>
        <w:spacing w:after="0" w:line="276" w:lineRule="auto"/>
        <w:jc w:val="both"/>
        <w:rPr>
          <w:rFonts w:ascii="Times New Roman" w:eastAsia="Calibri" w:hAnsi="Times New Roman" w:cs="Times New Roman"/>
          <w:b/>
          <w:bCs/>
          <w:sz w:val="24"/>
          <w:szCs w:val="24"/>
        </w:rPr>
      </w:pPr>
      <w:r w:rsidRPr="00B65096">
        <w:rPr>
          <w:rFonts w:ascii="Times New Roman" w:eastAsia="Calibri" w:hAnsi="Times New Roman" w:cs="Times New Roman"/>
          <w:b/>
          <w:bCs/>
          <w:sz w:val="24"/>
          <w:szCs w:val="24"/>
        </w:rPr>
        <w:t>P</w:t>
      </w:r>
      <w:r w:rsidR="004A565D" w:rsidRPr="00B65096">
        <w:rPr>
          <w:rFonts w:ascii="Times New Roman" w:eastAsia="Calibri" w:hAnsi="Times New Roman" w:cs="Times New Roman"/>
          <w:b/>
          <w:bCs/>
          <w:sz w:val="24"/>
          <w:szCs w:val="24"/>
        </w:rPr>
        <w:t>OPIS</w:t>
      </w:r>
      <w:r w:rsidRPr="00B65096">
        <w:rPr>
          <w:rFonts w:ascii="Times New Roman" w:eastAsia="Calibri" w:hAnsi="Times New Roman" w:cs="Times New Roman"/>
          <w:b/>
          <w:bCs/>
          <w:sz w:val="24"/>
          <w:szCs w:val="24"/>
        </w:rPr>
        <w:t xml:space="preserve"> MJERA ZA OTKLANJANJE UTVRĐENIH UZROKA N</w:t>
      </w:r>
      <w:r w:rsidR="00A25DF5" w:rsidRPr="00B65096">
        <w:rPr>
          <w:rFonts w:ascii="Times New Roman" w:eastAsia="Calibri" w:hAnsi="Times New Roman" w:cs="Times New Roman"/>
          <w:b/>
          <w:bCs/>
          <w:sz w:val="24"/>
          <w:szCs w:val="24"/>
        </w:rPr>
        <w:t>A</w:t>
      </w:r>
      <w:r w:rsidRPr="00B65096">
        <w:rPr>
          <w:rFonts w:ascii="Times New Roman" w:eastAsia="Calibri" w:hAnsi="Times New Roman" w:cs="Times New Roman"/>
          <w:b/>
          <w:bCs/>
          <w:sz w:val="24"/>
          <w:szCs w:val="24"/>
        </w:rPr>
        <w:t>STANKA NEGATIVNOG POSLOVANJA TE MJERA ZA STABILNO ODRŽIVO POSLOVANJE</w:t>
      </w:r>
    </w:p>
    <w:p w:rsidR="004A565D" w:rsidRPr="00B65096" w:rsidRDefault="004A565D" w:rsidP="0080604E">
      <w:pPr>
        <w:pStyle w:val="Bezproreda"/>
        <w:spacing w:line="276" w:lineRule="auto"/>
        <w:ind w:left="720"/>
        <w:rPr>
          <w:rFonts w:ascii="Times New Roman" w:hAnsi="Times New Roman" w:cs="Times New Roman"/>
          <w:b/>
          <w:sz w:val="20"/>
          <w:szCs w:val="20"/>
        </w:rPr>
      </w:pPr>
    </w:p>
    <w:p w:rsidR="004A565D" w:rsidRPr="00B65096" w:rsidRDefault="004A565D" w:rsidP="004A565D">
      <w:pPr>
        <w:spacing w:after="0" w:line="276" w:lineRule="auto"/>
        <w:ind w:firstLine="708"/>
        <w:jc w:val="both"/>
        <w:rPr>
          <w:rFonts w:ascii="Times New Roman" w:eastAsia="Calibri" w:hAnsi="Times New Roman" w:cs="Times New Roman"/>
          <w:sz w:val="24"/>
          <w:szCs w:val="24"/>
        </w:rPr>
      </w:pPr>
      <w:r w:rsidRPr="00B65096">
        <w:rPr>
          <w:rFonts w:ascii="Times New Roman" w:eastAsia="Calibri" w:hAnsi="Times New Roman" w:cs="Times New Roman"/>
          <w:sz w:val="24"/>
          <w:szCs w:val="24"/>
        </w:rPr>
        <w:t>U nastavku se daje popis mjera za otklanjanje utvrđenih uzroka nastanka negativnog poslovanja u prethodnim godinama na koje Grad može utjecati, te ujedno i popis mjera za stabilno održivo poslovanje:</w:t>
      </w:r>
    </w:p>
    <w:p w:rsidR="00331D44" w:rsidRPr="00B65096" w:rsidRDefault="00331D44" w:rsidP="004A565D">
      <w:pPr>
        <w:spacing w:after="0" w:line="276" w:lineRule="auto"/>
        <w:ind w:firstLine="708"/>
        <w:jc w:val="both"/>
        <w:rPr>
          <w:rFonts w:ascii="Times New Roman" w:eastAsia="Calibri" w:hAnsi="Times New Roman" w:cs="Times New Roman"/>
          <w:sz w:val="24"/>
          <w:szCs w:val="24"/>
        </w:rPr>
      </w:pPr>
    </w:p>
    <w:p w:rsidR="0080604E" w:rsidRPr="00B65096" w:rsidRDefault="004A565D" w:rsidP="00113199">
      <w:pPr>
        <w:pStyle w:val="Odlomakpopisa"/>
        <w:numPr>
          <w:ilvl w:val="0"/>
          <w:numId w:val="7"/>
        </w:numPr>
        <w:spacing w:after="0" w:line="276" w:lineRule="auto"/>
        <w:jc w:val="both"/>
        <w:rPr>
          <w:rFonts w:ascii="Times New Roman" w:eastAsia="Calibri" w:hAnsi="Times New Roman" w:cs="Times New Roman"/>
          <w:sz w:val="24"/>
          <w:szCs w:val="24"/>
        </w:rPr>
      </w:pPr>
      <w:r w:rsidRPr="00B65096">
        <w:rPr>
          <w:rFonts w:ascii="Times New Roman" w:eastAsia="Calibri" w:hAnsi="Times New Roman" w:cs="Times New Roman"/>
          <w:sz w:val="24"/>
          <w:szCs w:val="24"/>
        </w:rPr>
        <w:t>Prioritetno</w:t>
      </w:r>
      <w:r w:rsidR="0080604E" w:rsidRPr="00B65096">
        <w:rPr>
          <w:rFonts w:ascii="Times New Roman" w:eastAsia="Calibri" w:hAnsi="Times New Roman" w:cs="Times New Roman"/>
          <w:sz w:val="24"/>
          <w:szCs w:val="24"/>
        </w:rPr>
        <w:t xml:space="preserve"> planiranj</w:t>
      </w:r>
      <w:r w:rsidRPr="00B65096">
        <w:rPr>
          <w:rFonts w:ascii="Times New Roman" w:eastAsia="Calibri" w:hAnsi="Times New Roman" w:cs="Times New Roman"/>
          <w:sz w:val="24"/>
          <w:szCs w:val="24"/>
        </w:rPr>
        <w:t>e</w:t>
      </w:r>
      <w:r w:rsidR="0080604E" w:rsidRPr="00B65096">
        <w:rPr>
          <w:rFonts w:ascii="Times New Roman" w:eastAsia="Calibri" w:hAnsi="Times New Roman" w:cs="Times New Roman"/>
          <w:sz w:val="24"/>
          <w:szCs w:val="24"/>
        </w:rPr>
        <w:t xml:space="preserve"> i izvršavanj</w:t>
      </w:r>
      <w:r w:rsidRPr="00B65096">
        <w:rPr>
          <w:rFonts w:ascii="Times New Roman" w:eastAsia="Calibri" w:hAnsi="Times New Roman" w:cs="Times New Roman"/>
          <w:sz w:val="24"/>
          <w:szCs w:val="24"/>
        </w:rPr>
        <w:t>e</w:t>
      </w:r>
      <w:r w:rsidR="0080604E" w:rsidRPr="00B65096">
        <w:rPr>
          <w:rFonts w:ascii="Times New Roman" w:eastAsia="Calibri" w:hAnsi="Times New Roman" w:cs="Times New Roman"/>
          <w:sz w:val="24"/>
          <w:szCs w:val="24"/>
        </w:rPr>
        <w:t xml:space="preserve"> proračuna </w:t>
      </w:r>
      <w:r w:rsidRPr="00B65096">
        <w:rPr>
          <w:rFonts w:ascii="Times New Roman" w:eastAsia="Calibri" w:hAnsi="Times New Roman" w:cs="Times New Roman"/>
          <w:sz w:val="24"/>
          <w:szCs w:val="24"/>
        </w:rPr>
        <w:t>za</w:t>
      </w:r>
      <w:r w:rsidR="0080604E" w:rsidRPr="00B65096">
        <w:rPr>
          <w:rFonts w:ascii="Times New Roman" w:eastAsia="Calibri" w:hAnsi="Times New Roman" w:cs="Times New Roman"/>
          <w:sz w:val="24"/>
          <w:szCs w:val="24"/>
        </w:rPr>
        <w:t xml:space="preserve"> zakonske i ugovorne obveze</w:t>
      </w:r>
      <w:r w:rsidR="003A6D58" w:rsidRPr="00B65096">
        <w:rPr>
          <w:rFonts w:ascii="Times New Roman" w:eastAsia="Calibri" w:hAnsi="Times New Roman" w:cs="Times New Roman"/>
          <w:sz w:val="24"/>
          <w:szCs w:val="24"/>
        </w:rPr>
        <w:t>;</w:t>
      </w:r>
    </w:p>
    <w:p w:rsidR="0080604E" w:rsidRPr="00B65096" w:rsidRDefault="003A6D58" w:rsidP="0034234B">
      <w:pPr>
        <w:pStyle w:val="Odlomakpopisa"/>
        <w:numPr>
          <w:ilvl w:val="0"/>
          <w:numId w:val="7"/>
        </w:numPr>
        <w:spacing w:after="0" w:line="276" w:lineRule="auto"/>
        <w:jc w:val="both"/>
        <w:rPr>
          <w:rFonts w:ascii="Times New Roman" w:eastAsia="Calibri" w:hAnsi="Times New Roman" w:cs="Times New Roman"/>
          <w:sz w:val="24"/>
          <w:szCs w:val="24"/>
        </w:rPr>
      </w:pPr>
      <w:r w:rsidRPr="00B65096">
        <w:rPr>
          <w:rFonts w:ascii="Times New Roman" w:eastAsia="Calibri" w:hAnsi="Times New Roman" w:cs="Times New Roman"/>
          <w:sz w:val="24"/>
          <w:szCs w:val="24"/>
        </w:rPr>
        <w:t>P</w:t>
      </w:r>
      <w:r w:rsidR="0080604E" w:rsidRPr="00B65096">
        <w:rPr>
          <w:rFonts w:ascii="Times New Roman" w:eastAsia="Calibri" w:hAnsi="Times New Roman" w:cs="Times New Roman"/>
          <w:sz w:val="24"/>
          <w:szCs w:val="24"/>
        </w:rPr>
        <w:t xml:space="preserve">raćenje naplate prihoda i </w:t>
      </w:r>
      <w:r w:rsidR="0034234B" w:rsidRPr="00B65096">
        <w:rPr>
          <w:rFonts w:ascii="Times New Roman" w:eastAsia="Calibri" w:hAnsi="Times New Roman" w:cs="Times New Roman"/>
          <w:sz w:val="24"/>
          <w:szCs w:val="24"/>
        </w:rPr>
        <w:t xml:space="preserve">provođenje </w:t>
      </w:r>
      <w:r w:rsidR="003623F1" w:rsidRPr="00B65096">
        <w:rPr>
          <w:rFonts w:ascii="Times New Roman" w:eastAsia="Calibri" w:hAnsi="Times New Roman" w:cs="Times New Roman"/>
          <w:sz w:val="24"/>
          <w:szCs w:val="24"/>
        </w:rPr>
        <w:t xml:space="preserve">više </w:t>
      </w:r>
      <w:r w:rsidR="0034234B" w:rsidRPr="00B65096">
        <w:rPr>
          <w:rFonts w:ascii="Times New Roman" w:eastAsia="Calibri" w:hAnsi="Times New Roman" w:cs="Times New Roman"/>
          <w:sz w:val="24"/>
          <w:szCs w:val="24"/>
        </w:rPr>
        <w:t>mjera prisilne naplate</w:t>
      </w:r>
      <w:r w:rsidRPr="00B65096">
        <w:rPr>
          <w:rFonts w:ascii="Times New Roman" w:eastAsia="Calibri" w:hAnsi="Times New Roman" w:cs="Times New Roman"/>
          <w:sz w:val="24"/>
          <w:szCs w:val="24"/>
        </w:rPr>
        <w:t>;</w:t>
      </w:r>
    </w:p>
    <w:p w:rsidR="00C84A8C" w:rsidRPr="00B65096" w:rsidRDefault="00C84A8C" w:rsidP="00C84A8C">
      <w:pPr>
        <w:pStyle w:val="Odlomakpopisa"/>
        <w:numPr>
          <w:ilvl w:val="0"/>
          <w:numId w:val="7"/>
        </w:numPr>
        <w:spacing w:after="0" w:line="276" w:lineRule="auto"/>
        <w:jc w:val="both"/>
        <w:rPr>
          <w:rFonts w:ascii="Times New Roman" w:eastAsia="Calibri" w:hAnsi="Times New Roman" w:cs="Times New Roman"/>
          <w:sz w:val="24"/>
          <w:szCs w:val="24"/>
        </w:rPr>
      </w:pPr>
      <w:r w:rsidRPr="00B65096">
        <w:rPr>
          <w:rFonts w:ascii="Times New Roman" w:eastAsia="Calibri" w:hAnsi="Times New Roman" w:cs="Times New Roman"/>
          <w:sz w:val="24"/>
          <w:szCs w:val="24"/>
        </w:rPr>
        <w:t>Povećanje financiranja proračunskih projekata i aktivnosti iz vanjskih izvora financiranja</w:t>
      </w:r>
      <w:r w:rsidR="003A6D58" w:rsidRPr="00B65096">
        <w:rPr>
          <w:rFonts w:ascii="Times New Roman" w:eastAsia="Calibri" w:hAnsi="Times New Roman" w:cs="Times New Roman"/>
          <w:sz w:val="24"/>
          <w:szCs w:val="24"/>
        </w:rPr>
        <w:t>;</w:t>
      </w:r>
    </w:p>
    <w:p w:rsidR="0080604E" w:rsidRPr="00B65096" w:rsidRDefault="0080604E" w:rsidP="00113199">
      <w:pPr>
        <w:pStyle w:val="Odlomakpopisa"/>
        <w:numPr>
          <w:ilvl w:val="0"/>
          <w:numId w:val="7"/>
        </w:numPr>
        <w:spacing w:after="0" w:line="276" w:lineRule="auto"/>
        <w:jc w:val="both"/>
        <w:rPr>
          <w:rFonts w:ascii="Times New Roman" w:eastAsia="Calibri" w:hAnsi="Times New Roman" w:cs="Times New Roman"/>
          <w:sz w:val="24"/>
          <w:szCs w:val="24"/>
        </w:rPr>
      </w:pPr>
      <w:r w:rsidRPr="00B65096">
        <w:rPr>
          <w:rFonts w:ascii="Times New Roman" w:eastAsia="Calibri" w:hAnsi="Times New Roman" w:cs="Times New Roman"/>
          <w:sz w:val="24"/>
          <w:szCs w:val="24"/>
        </w:rPr>
        <w:t>Uvođenje sustava za evidentiranje nekretnin</w:t>
      </w:r>
      <w:r w:rsidR="00C84A8C" w:rsidRPr="00B65096">
        <w:rPr>
          <w:rFonts w:ascii="Times New Roman" w:eastAsia="Calibri" w:hAnsi="Times New Roman" w:cs="Times New Roman"/>
          <w:sz w:val="24"/>
          <w:szCs w:val="24"/>
        </w:rPr>
        <w:t>a</w:t>
      </w:r>
      <w:r w:rsidRPr="00B65096">
        <w:rPr>
          <w:rFonts w:ascii="Times New Roman" w:eastAsia="Calibri" w:hAnsi="Times New Roman" w:cs="Times New Roman"/>
          <w:sz w:val="24"/>
          <w:szCs w:val="24"/>
        </w:rPr>
        <w:t xml:space="preserve"> u vlasništvu </w:t>
      </w:r>
      <w:r w:rsidR="008C78F9" w:rsidRPr="00B65096">
        <w:rPr>
          <w:rFonts w:ascii="Times New Roman" w:eastAsia="Calibri" w:hAnsi="Times New Roman" w:cs="Times New Roman"/>
          <w:sz w:val="24"/>
          <w:szCs w:val="24"/>
        </w:rPr>
        <w:t>grada</w:t>
      </w:r>
      <w:r w:rsidR="003A6D58" w:rsidRPr="00B65096">
        <w:rPr>
          <w:rFonts w:ascii="Times New Roman" w:eastAsia="Calibri" w:hAnsi="Times New Roman" w:cs="Times New Roman"/>
          <w:sz w:val="24"/>
          <w:szCs w:val="24"/>
        </w:rPr>
        <w:t>;</w:t>
      </w:r>
    </w:p>
    <w:p w:rsidR="0080604E" w:rsidRPr="00B65096" w:rsidRDefault="0080604E" w:rsidP="00113199">
      <w:pPr>
        <w:pStyle w:val="Odlomakpopisa"/>
        <w:numPr>
          <w:ilvl w:val="0"/>
          <w:numId w:val="7"/>
        </w:numPr>
        <w:spacing w:after="0" w:line="276" w:lineRule="auto"/>
        <w:jc w:val="both"/>
        <w:rPr>
          <w:rFonts w:ascii="Times New Roman" w:eastAsia="Calibri" w:hAnsi="Times New Roman" w:cs="Times New Roman"/>
          <w:sz w:val="24"/>
          <w:szCs w:val="24"/>
        </w:rPr>
      </w:pPr>
      <w:r w:rsidRPr="00B65096">
        <w:rPr>
          <w:rFonts w:ascii="Times New Roman" w:eastAsia="Calibri" w:hAnsi="Times New Roman" w:cs="Times New Roman"/>
          <w:sz w:val="24"/>
          <w:szCs w:val="24"/>
        </w:rPr>
        <w:lastRenderedPageBreak/>
        <w:t>Smanjenje materijalnih rashoda uz zadržavanje kvalitete rada i pružanja usluga građanima</w:t>
      </w:r>
      <w:r w:rsidR="00883195" w:rsidRPr="00B65096">
        <w:rPr>
          <w:rFonts w:ascii="Times New Roman" w:eastAsia="Calibri" w:hAnsi="Times New Roman" w:cs="Times New Roman"/>
          <w:sz w:val="24"/>
          <w:szCs w:val="24"/>
        </w:rPr>
        <w:t>;</w:t>
      </w:r>
    </w:p>
    <w:p w:rsidR="00883195" w:rsidRPr="00B65096" w:rsidRDefault="00883195" w:rsidP="00113199">
      <w:pPr>
        <w:pStyle w:val="Odlomakpopisa"/>
        <w:numPr>
          <w:ilvl w:val="0"/>
          <w:numId w:val="7"/>
        </w:numPr>
        <w:spacing w:after="0" w:line="276" w:lineRule="auto"/>
        <w:jc w:val="both"/>
        <w:rPr>
          <w:rFonts w:ascii="Times New Roman" w:eastAsia="Calibri" w:hAnsi="Times New Roman" w:cs="Times New Roman"/>
          <w:sz w:val="24"/>
          <w:szCs w:val="24"/>
        </w:rPr>
      </w:pPr>
      <w:r w:rsidRPr="00B65096">
        <w:rPr>
          <w:rFonts w:ascii="Times New Roman" w:eastAsia="Calibri" w:hAnsi="Times New Roman" w:cs="Times New Roman"/>
          <w:sz w:val="24"/>
          <w:szCs w:val="24"/>
        </w:rPr>
        <w:t>Obračun zakonskih zateznih kamata.</w:t>
      </w:r>
    </w:p>
    <w:p w:rsidR="00CF75EA" w:rsidRPr="00B65096" w:rsidRDefault="00CF75EA" w:rsidP="00331D44">
      <w:pPr>
        <w:pStyle w:val="Bezproreda"/>
        <w:jc w:val="both"/>
        <w:rPr>
          <w:rFonts w:ascii="Times New Roman" w:eastAsia="Calibri" w:hAnsi="Times New Roman" w:cs="Times New Roman"/>
          <w:sz w:val="24"/>
          <w:szCs w:val="24"/>
        </w:rPr>
      </w:pPr>
    </w:p>
    <w:p w:rsidR="004A565D" w:rsidRPr="00B65096" w:rsidRDefault="00EC5DCC" w:rsidP="008A1126">
      <w:pPr>
        <w:pStyle w:val="Bezproreda"/>
        <w:ind w:firstLine="708"/>
        <w:jc w:val="both"/>
        <w:rPr>
          <w:rFonts w:ascii="Times New Roman" w:eastAsia="Calibri" w:hAnsi="Times New Roman" w:cs="Times New Roman"/>
          <w:sz w:val="24"/>
          <w:szCs w:val="24"/>
        </w:rPr>
      </w:pPr>
      <w:r w:rsidRPr="00B65096">
        <w:rPr>
          <w:rFonts w:ascii="Times New Roman" w:eastAsia="Calibri" w:hAnsi="Times New Roman" w:cs="Times New Roman"/>
          <w:sz w:val="24"/>
          <w:szCs w:val="24"/>
        </w:rPr>
        <w:t xml:space="preserve">Preneseni manjak prihoda </w:t>
      </w:r>
      <w:r w:rsidR="004A565D" w:rsidRPr="00B65096">
        <w:rPr>
          <w:rFonts w:ascii="Times New Roman" w:eastAsia="Calibri" w:hAnsi="Times New Roman" w:cs="Times New Roman"/>
          <w:sz w:val="24"/>
          <w:szCs w:val="24"/>
        </w:rPr>
        <w:t xml:space="preserve">prvenstveno je </w:t>
      </w:r>
      <w:r w:rsidRPr="00B65096">
        <w:rPr>
          <w:rFonts w:ascii="Times New Roman" w:eastAsia="Calibri" w:hAnsi="Times New Roman" w:cs="Times New Roman"/>
          <w:sz w:val="24"/>
          <w:szCs w:val="24"/>
        </w:rPr>
        <w:t xml:space="preserve">posljedica višegodišnjih nepovoljnih gospodarskih kretanja u hrvatskom gospodarstvu, te </w:t>
      </w:r>
      <w:r w:rsidR="004A565D" w:rsidRPr="00B65096">
        <w:rPr>
          <w:rFonts w:ascii="Times New Roman" w:eastAsia="Calibri" w:hAnsi="Times New Roman" w:cs="Times New Roman"/>
          <w:sz w:val="24"/>
          <w:szCs w:val="24"/>
        </w:rPr>
        <w:t>višekratni</w:t>
      </w:r>
      <w:r w:rsidRPr="00B65096">
        <w:rPr>
          <w:rFonts w:ascii="Times New Roman" w:eastAsia="Calibri" w:hAnsi="Times New Roman" w:cs="Times New Roman"/>
          <w:sz w:val="24"/>
          <w:szCs w:val="24"/>
        </w:rPr>
        <w:t xml:space="preserve">h poreznih reformi koje su se </w:t>
      </w:r>
      <w:r w:rsidR="004A565D" w:rsidRPr="00B65096">
        <w:rPr>
          <w:rFonts w:ascii="Times New Roman" w:eastAsia="Calibri" w:hAnsi="Times New Roman" w:cs="Times New Roman"/>
          <w:sz w:val="24"/>
          <w:szCs w:val="24"/>
        </w:rPr>
        <w:t xml:space="preserve">negativno </w:t>
      </w:r>
      <w:r w:rsidRPr="00B65096">
        <w:rPr>
          <w:rFonts w:ascii="Times New Roman" w:eastAsia="Calibri" w:hAnsi="Times New Roman" w:cs="Times New Roman"/>
          <w:sz w:val="24"/>
          <w:szCs w:val="24"/>
        </w:rPr>
        <w:t>odrazile na ostvarivanje prihoda Proračuna Grada Šibenika.</w:t>
      </w:r>
      <w:r w:rsidR="0017400F" w:rsidRPr="00B65096">
        <w:rPr>
          <w:rFonts w:ascii="Times New Roman" w:eastAsia="Calibri" w:hAnsi="Times New Roman" w:cs="Times New Roman"/>
          <w:sz w:val="24"/>
          <w:szCs w:val="24"/>
        </w:rPr>
        <w:t xml:space="preserve"> </w:t>
      </w:r>
    </w:p>
    <w:p w:rsidR="004A565D" w:rsidRPr="00B65096" w:rsidRDefault="004A565D" w:rsidP="004A565D">
      <w:pPr>
        <w:pStyle w:val="Bezproreda"/>
        <w:ind w:firstLine="708"/>
        <w:jc w:val="both"/>
        <w:rPr>
          <w:rFonts w:ascii="Times New Roman" w:eastAsia="Calibri" w:hAnsi="Times New Roman" w:cs="Times New Roman"/>
          <w:sz w:val="24"/>
          <w:szCs w:val="24"/>
        </w:rPr>
      </w:pPr>
    </w:p>
    <w:p w:rsidR="00D30BDD" w:rsidRPr="00B65096" w:rsidRDefault="0017400F" w:rsidP="004A565D">
      <w:pPr>
        <w:pStyle w:val="Bezproreda"/>
        <w:ind w:firstLine="708"/>
        <w:jc w:val="both"/>
        <w:rPr>
          <w:rFonts w:ascii="Times New Roman" w:eastAsia="Calibri" w:hAnsi="Times New Roman" w:cs="Times New Roman"/>
          <w:sz w:val="24"/>
          <w:szCs w:val="24"/>
        </w:rPr>
      </w:pPr>
      <w:r w:rsidRPr="00B65096">
        <w:rPr>
          <w:rFonts w:ascii="Times New Roman" w:eastAsia="Calibri" w:hAnsi="Times New Roman" w:cs="Times New Roman"/>
          <w:sz w:val="24"/>
          <w:szCs w:val="24"/>
        </w:rPr>
        <w:t>Financijski izvještaji za 2018. godinu te polugodišnji izvještaji</w:t>
      </w:r>
      <w:r w:rsidR="008A318D" w:rsidRPr="00B65096">
        <w:rPr>
          <w:rFonts w:ascii="Times New Roman" w:eastAsia="Calibri" w:hAnsi="Times New Roman" w:cs="Times New Roman"/>
          <w:sz w:val="24"/>
          <w:szCs w:val="24"/>
        </w:rPr>
        <w:t xml:space="preserve"> </w:t>
      </w:r>
      <w:r w:rsidRPr="00B65096">
        <w:rPr>
          <w:rFonts w:ascii="Times New Roman" w:eastAsia="Calibri" w:hAnsi="Times New Roman" w:cs="Times New Roman"/>
          <w:sz w:val="24"/>
          <w:szCs w:val="24"/>
        </w:rPr>
        <w:t xml:space="preserve">2019. godine pokazuju pozitivan trend smanjenja manjka. </w:t>
      </w:r>
    </w:p>
    <w:p w:rsidR="00F0112C" w:rsidRPr="00B65096" w:rsidRDefault="00F0112C" w:rsidP="003E78D7">
      <w:pPr>
        <w:pStyle w:val="Bezproreda"/>
        <w:jc w:val="both"/>
        <w:rPr>
          <w:rFonts w:ascii="Times New Roman" w:eastAsia="Calibri" w:hAnsi="Times New Roman" w:cs="Times New Roman"/>
          <w:sz w:val="24"/>
          <w:szCs w:val="24"/>
        </w:rPr>
      </w:pPr>
    </w:p>
    <w:p w:rsidR="00CF75EA" w:rsidRPr="00B65096" w:rsidRDefault="00CF75EA" w:rsidP="003E78D7">
      <w:pPr>
        <w:pStyle w:val="Bezproreda"/>
        <w:jc w:val="both"/>
        <w:rPr>
          <w:rFonts w:ascii="Times New Roman" w:eastAsia="Calibri" w:hAnsi="Times New Roman" w:cs="Times New Roman"/>
          <w:sz w:val="24"/>
          <w:szCs w:val="24"/>
        </w:rPr>
      </w:pPr>
    </w:p>
    <w:p w:rsidR="00A34AB6" w:rsidRPr="00B65096" w:rsidRDefault="005715E5" w:rsidP="00A34AB6">
      <w:pPr>
        <w:pStyle w:val="Odlomakpopisa"/>
        <w:numPr>
          <w:ilvl w:val="0"/>
          <w:numId w:val="8"/>
        </w:numPr>
        <w:spacing w:after="0" w:line="276" w:lineRule="auto"/>
        <w:jc w:val="both"/>
        <w:rPr>
          <w:rFonts w:ascii="Times New Roman" w:eastAsia="Calibri" w:hAnsi="Times New Roman" w:cs="Times New Roman"/>
          <w:b/>
          <w:bCs/>
          <w:sz w:val="24"/>
          <w:szCs w:val="24"/>
        </w:rPr>
      </w:pPr>
      <w:r w:rsidRPr="00B65096">
        <w:rPr>
          <w:rFonts w:ascii="Times New Roman" w:eastAsia="Calibri" w:hAnsi="Times New Roman" w:cs="Times New Roman"/>
          <w:b/>
          <w:bCs/>
          <w:sz w:val="24"/>
          <w:szCs w:val="24"/>
        </w:rPr>
        <w:t>AKCIJSKI PLAN PROVEDBE NAVEDENIH MJERA</w:t>
      </w:r>
    </w:p>
    <w:p w:rsidR="00A34AB6" w:rsidRPr="00B65096" w:rsidRDefault="00A34AB6" w:rsidP="00A34AB6">
      <w:pPr>
        <w:spacing w:after="0" w:line="276" w:lineRule="auto"/>
        <w:ind w:left="360"/>
        <w:jc w:val="both"/>
        <w:rPr>
          <w:rFonts w:ascii="Times New Roman" w:eastAsia="Calibri" w:hAnsi="Times New Roman" w:cs="Times New Roman"/>
          <w:b/>
          <w:bCs/>
          <w:sz w:val="24"/>
          <w:szCs w:val="24"/>
        </w:rPr>
      </w:pPr>
    </w:p>
    <w:p w:rsidR="00A34AB6" w:rsidRPr="00B65096" w:rsidRDefault="00A34AB6" w:rsidP="00A34AB6">
      <w:pPr>
        <w:spacing w:after="0" w:line="276" w:lineRule="auto"/>
        <w:ind w:firstLine="360"/>
        <w:jc w:val="both"/>
        <w:rPr>
          <w:rFonts w:ascii="Times New Roman" w:eastAsia="Calibri" w:hAnsi="Times New Roman" w:cs="Times New Roman"/>
          <w:b/>
          <w:bCs/>
          <w:sz w:val="24"/>
          <w:szCs w:val="24"/>
        </w:rPr>
      </w:pPr>
      <w:r w:rsidRPr="00B65096">
        <w:rPr>
          <w:rFonts w:ascii="Times New Roman" w:eastAsia="Calibri" w:hAnsi="Times New Roman" w:cs="Times New Roman"/>
          <w:sz w:val="24"/>
          <w:szCs w:val="24"/>
        </w:rPr>
        <w:t>U nastavku je tabelarni prikaz mjera, načina provedbe, rok provedbe, financijski učinak te naziv odgovorne osobe za provođenje mjera:</w:t>
      </w:r>
    </w:p>
    <w:tbl>
      <w:tblPr>
        <w:tblpPr w:leftFromText="180" w:rightFromText="180" w:vertAnchor="text" w:horzAnchor="margin" w:tblpXSpec="center" w:tblpY="143"/>
        <w:tblW w:w="10060" w:type="dxa"/>
        <w:tblLook w:val="04A0" w:firstRow="1" w:lastRow="0" w:firstColumn="1" w:lastColumn="0" w:noHBand="0" w:noVBand="1"/>
      </w:tblPr>
      <w:tblGrid>
        <w:gridCol w:w="2550"/>
        <w:gridCol w:w="2764"/>
        <w:gridCol w:w="1272"/>
        <w:gridCol w:w="1516"/>
        <w:gridCol w:w="1958"/>
      </w:tblGrid>
      <w:tr w:rsidR="000F0498" w:rsidRPr="00B65096" w:rsidTr="000F0498">
        <w:trPr>
          <w:trHeight w:val="840"/>
        </w:trPr>
        <w:tc>
          <w:tcPr>
            <w:tcW w:w="2550" w:type="dxa"/>
            <w:tcBorders>
              <w:top w:val="single" w:sz="4" w:space="0" w:color="auto"/>
              <w:left w:val="single" w:sz="4" w:space="0" w:color="auto"/>
              <w:bottom w:val="single" w:sz="4" w:space="0" w:color="auto"/>
              <w:right w:val="single" w:sz="4" w:space="0" w:color="auto"/>
            </w:tcBorders>
            <w:shd w:val="clear" w:color="000000" w:fill="EDEDED"/>
            <w:vAlign w:val="center"/>
            <w:hideMark/>
          </w:tcPr>
          <w:p w:rsidR="000F0498" w:rsidRPr="00B65096" w:rsidRDefault="000F0498" w:rsidP="000F0498">
            <w:pPr>
              <w:spacing w:after="0" w:line="240" w:lineRule="auto"/>
              <w:jc w:val="center"/>
              <w:rPr>
                <w:rFonts w:ascii="Times New Roman" w:eastAsia="Times New Roman" w:hAnsi="Times New Roman" w:cs="Times New Roman"/>
                <w:color w:val="000000"/>
                <w:sz w:val="20"/>
                <w:szCs w:val="20"/>
                <w:lang w:eastAsia="hr-HR"/>
              </w:rPr>
            </w:pPr>
            <w:r w:rsidRPr="00B65096">
              <w:rPr>
                <w:rFonts w:ascii="Times New Roman" w:eastAsia="Times New Roman" w:hAnsi="Times New Roman" w:cs="Times New Roman"/>
                <w:color w:val="000000"/>
                <w:sz w:val="20"/>
                <w:szCs w:val="20"/>
                <w:lang w:eastAsia="hr-HR"/>
              </w:rPr>
              <w:t>NAZIV MJERE</w:t>
            </w:r>
          </w:p>
        </w:tc>
        <w:tc>
          <w:tcPr>
            <w:tcW w:w="2764" w:type="dxa"/>
            <w:tcBorders>
              <w:top w:val="single" w:sz="4" w:space="0" w:color="auto"/>
              <w:left w:val="nil"/>
              <w:bottom w:val="single" w:sz="4" w:space="0" w:color="auto"/>
              <w:right w:val="single" w:sz="4" w:space="0" w:color="auto"/>
            </w:tcBorders>
            <w:shd w:val="clear" w:color="000000" w:fill="EDEDED"/>
            <w:vAlign w:val="center"/>
            <w:hideMark/>
          </w:tcPr>
          <w:p w:rsidR="000F0498" w:rsidRPr="00B65096" w:rsidRDefault="000F0498" w:rsidP="000F0498">
            <w:pPr>
              <w:spacing w:after="0" w:line="240" w:lineRule="auto"/>
              <w:jc w:val="center"/>
              <w:rPr>
                <w:rFonts w:ascii="Times New Roman" w:eastAsia="Times New Roman" w:hAnsi="Times New Roman" w:cs="Times New Roman"/>
                <w:color w:val="000000"/>
                <w:sz w:val="20"/>
                <w:szCs w:val="20"/>
                <w:lang w:eastAsia="hr-HR"/>
              </w:rPr>
            </w:pPr>
            <w:r w:rsidRPr="00B65096">
              <w:rPr>
                <w:rFonts w:ascii="Times New Roman" w:eastAsia="Times New Roman" w:hAnsi="Times New Roman" w:cs="Times New Roman"/>
                <w:color w:val="000000"/>
                <w:sz w:val="20"/>
                <w:szCs w:val="20"/>
                <w:lang w:eastAsia="hr-HR"/>
              </w:rPr>
              <w:t>NAČIN PROVEDBE</w:t>
            </w:r>
          </w:p>
        </w:tc>
        <w:tc>
          <w:tcPr>
            <w:tcW w:w="1272" w:type="dxa"/>
            <w:tcBorders>
              <w:top w:val="single" w:sz="4" w:space="0" w:color="auto"/>
              <w:left w:val="nil"/>
              <w:bottom w:val="single" w:sz="4" w:space="0" w:color="auto"/>
              <w:right w:val="single" w:sz="4" w:space="0" w:color="auto"/>
            </w:tcBorders>
            <w:shd w:val="clear" w:color="000000" w:fill="EDEDED"/>
            <w:vAlign w:val="center"/>
            <w:hideMark/>
          </w:tcPr>
          <w:p w:rsidR="000F0498" w:rsidRPr="00B65096" w:rsidRDefault="000F0498" w:rsidP="000F0498">
            <w:pPr>
              <w:spacing w:after="0" w:line="240" w:lineRule="auto"/>
              <w:jc w:val="center"/>
              <w:rPr>
                <w:rFonts w:ascii="Times New Roman" w:eastAsia="Times New Roman" w:hAnsi="Times New Roman" w:cs="Times New Roman"/>
                <w:color w:val="000000"/>
                <w:sz w:val="20"/>
                <w:szCs w:val="20"/>
                <w:lang w:eastAsia="hr-HR"/>
              </w:rPr>
            </w:pPr>
            <w:r w:rsidRPr="00B65096">
              <w:rPr>
                <w:rFonts w:ascii="Times New Roman" w:eastAsia="Times New Roman" w:hAnsi="Times New Roman" w:cs="Times New Roman"/>
                <w:color w:val="000000"/>
                <w:sz w:val="20"/>
                <w:szCs w:val="20"/>
                <w:lang w:eastAsia="hr-HR"/>
              </w:rPr>
              <w:t>ROK PROVEDBE</w:t>
            </w:r>
          </w:p>
        </w:tc>
        <w:tc>
          <w:tcPr>
            <w:tcW w:w="1516" w:type="dxa"/>
            <w:tcBorders>
              <w:top w:val="single" w:sz="4" w:space="0" w:color="auto"/>
              <w:left w:val="nil"/>
              <w:bottom w:val="single" w:sz="4" w:space="0" w:color="auto"/>
              <w:right w:val="single" w:sz="4" w:space="0" w:color="auto"/>
            </w:tcBorders>
            <w:shd w:val="clear" w:color="000000" w:fill="EDEDED"/>
            <w:vAlign w:val="center"/>
            <w:hideMark/>
          </w:tcPr>
          <w:p w:rsidR="000F0498" w:rsidRPr="00B65096" w:rsidRDefault="000F0498" w:rsidP="000F0498">
            <w:pPr>
              <w:spacing w:after="0" w:line="240" w:lineRule="auto"/>
              <w:jc w:val="center"/>
              <w:rPr>
                <w:rFonts w:ascii="Times New Roman" w:eastAsia="Times New Roman" w:hAnsi="Times New Roman" w:cs="Times New Roman"/>
                <w:color w:val="000000"/>
                <w:sz w:val="20"/>
                <w:szCs w:val="20"/>
                <w:lang w:eastAsia="hr-HR"/>
              </w:rPr>
            </w:pPr>
            <w:r w:rsidRPr="00B65096">
              <w:rPr>
                <w:rFonts w:ascii="Times New Roman" w:eastAsia="Times New Roman" w:hAnsi="Times New Roman" w:cs="Times New Roman"/>
                <w:color w:val="000000"/>
                <w:sz w:val="20"/>
                <w:szCs w:val="20"/>
                <w:lang w:eastAsia="hr-HR"/>
              </w:rPr>
              <w:t>TROGODIŠNJI FINANCIJSKI UČINAK</w:t>
            </w:r>
          </w:p>
        </w:tc>
        <w:tc>
          <w:tcPr>
            <w:tcW w:w="1958" w:type="dxa"/>
            <w:tcBorders>
              <w:top w:val="single" w:sz="4" w:space="0" w:color="auto"/>
              <w:left w:val="nil"/>
              <w:bottom w:val="single" w:sz="4" w:space="0" w:color="auto"/>
              <w:right w:val="single" w:sz="4" w:space="0" w:color="auto"/>
            </w:tcBorders>
            <w:shd w:val="clear" w:color="000000" w:fill="EDEDED"/>
            <w:vAlign w:val="center"/>
            <w:hideMark/>
          </w:tcPr>
          <w:p w:rsidR="000F0498" w:rsidRPr="00B65096" w:rsidRDefault="000F0498" w:rsidP="000F0498">
            <w:pPr>
              <w:spacing w:after="0" w:line="240" w:lineRule="auto"/>
              <w:jc w:val="center"/>
              <w:rPr>
                <w:rFonts w:ascii="Times New Roman" w:eastAsia="Times New Roman" w:hAnsi="Times New Roman" w:cs="Times New Roman"/>
                <w:color w:val="000000"/>
                <w:sz w:val="20"/>
                <w:szCs w:val="20"/>
                <w:lang w:eastAsia="hr-HR"/>
              </w:rPr>
            </w:pPr>
            <w:r w:rsidRPr="00B65096">
              <w:rPr>
                <w:rFonts w:ascii="Times New Roman" w:eastAsia="Times New Roman" w:hAnsi="Times New Roman" w:cs="Times New Roman"/>
                <w:color w:val="000000"/>
                <w:sz w:val="20"/>
                <w:szCs w:val="20"/>
                <w:lang w:eastAsia="hr-HR"/>
              </w:rPr>
              <w:t>ODGOVORNA OSOBA</w:t>
            </w:r>
          </w:p>
        </w:tc>
      </w:tr>
      <w:tr w:rsidR="000F0498" w:rsidRPr="00B65096" w:rsidTr="000F0498">
        <w:trPr>
          <w:trHeight w:val="1320"/>
        </w:trPr>
        <w:tc>
          <w:tcPr>
            <w:tcW w:w="2550" w:type="dxa"/>
            <w:tcBorders>
              <w:top w:val="nil"/>
              <w:left w:val="single" w:sz="4" w:space="0" w:color="auto"/>
              <w:bottom w:val="single" w:sz="4" w:space="0" w:color="auto"/>
              <w:right w:val="single" w:sz="4" w:space="0" w:color="auto"/>
            </w:tcBorders>
            <w:shd w:val="clear" w:color="auto" w:fill="auto"/>
            <w:vAlign w:val="center"/>
            <w:hideMark/>
          </w:tcPr>
          <w:p w:rsidR="000F0498" w:rsidRPr="00B65096" w:rsidRDefault="000F0498" w:rsidP="000F0498">
            <w:pPr>
              <w:spacing w:after="0" w:line="240" w:lineRule="auto"/>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Prioritetno planiranje i izvršavanje proračuna za zakonske i ugovorne obveze</w:t>
            </w:r>
          </w:p>
        </w:tc>
        <w:tc>
          <w:tcPr>
            <w:tcW w:w="2764" w:type="dxa"/>
            <w:tcBorders>
              <w:top w:val="nil"/>
              <w:left w:val="nil"/>
              <w:bottom w:val="single" w:sz="4" w:space="0" w:color="auto"/>
              <w:right w:val="single" w:sz="4" w:space="0" w:color="auto"/>
            </w:tcBorders>
            <w:shd w:val="clear" w:color="auto" w:fill="auto"/>
            <w:vAlign w:val="center"/>
            <w:hideMark/>
          </w:tcPr>
          <w:p w:rsidR="000F0498" w:rsidRPr="00B65096" w:rsidRDefault="000F0498" w:rsidP="000F0498">
            <w:pPr>
              <w:spacing w:after="0" w:line="240" w:lineRule="auto"/>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 xml:space="preserve">Mjera podrazumijeva prioritetno podmirivanje već ugovorenih obveza, odnosno zakonskih obveza </w:t>
            </w:r>
          </w:p>
        </w:tc>
        <w:tc>
          <w:tcPr>
            <w:tcW w:w="1272" w:type="dxa"/>
            <w:tcBorders>
              <w:top w:val="nil"/>
              <w:left w:val="nil"/>
              <w:bottom w:val="single" w:sz="4" w:space="0" w:color="auto"/>
              <w:right w:val="single" w:sz="4" w:space="0" w:color="auto"/>
            </w:tcBorders>
            <w:shd w:val="clear" w:color="auto" w:fill="auto"/>
            <w:vAlign w:val="center"/>
            <w:hideMark/>
          </w:tcPr>
          <w:p w:rsidR="000F0498" w:rsidRPr="00B65096" w:rsidRDefault="000F0498" w:rsidP="000F0498">
            <w:pPr>
              <w:spacing w:after="0" w:line="240" w:lineRule="auto"/>
              <w:jc w:val="center"/>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31.12.2022.</w:t>
            </w:r>
          </w:p>
        </w:tc>
        <w:tc>
          <w:tcPr>
            <w:tcW w:w="1516" w:type="dxa"/>
            <w:tcBorders>
              <w:top w:val="nil"/>
              <w:left w:val="nil"/>
              <w:bottom w:val="single" w:sz="4" w:space="0" w:color="auto"/>
              <w:right w:val="single" w:sz="4" w:space="0" w:color="auto"/>
            </w:tcBorders>
            <w:shd w:val="clear" w:color="auto" w:fill="auto"/>
            <w:vAlign w:val="center"/>
            <w:hideMark/>
          </w:tcPr>
          <w:p w:rsidR="000F0498" w:rsidRPr="00B65096" w:rsidRDefault="000F0498" w:rsidP="000F0498">
            <w:pPr>
              <w:spacing w:after="0" w:line="240" w:lineRule="auto"/>
              <w:jc w:val="center"/>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3,0 milijuna kuna</w:t>
            </w:r>
          </w:p>
        </w:tc>
        <w:tc>
          <w:tcPr>
            <w:tcW w:w="1958" w:type="dxa"/>
            <w:tcBorders>
              <w:top w:val="nil"/>
              <w:left w:val="nil"/>
              <w:bottom w:val="single" w:sz="4" w:space="0" w:color="auto"/>
              <w:right w:val="single" w:sz="4" w:space="0" w:color="auto"/>
            </w:tcBorders>
            <w:shd w:val="clear" w:color="auto" w:fill="auto"/>
            <w:vAlign w:val="center"/>
            <w:hideMark/>
          </w:tcPr>
          <w:p w:rsidR="000F0498" w:rsidRPr="00B65096" w:rsidRDefault="000F0498" w:rsidP="000F0498">
            <w:pPr>
              <w:spacing w:after="0" w:line="240" w:lineRule="auto"/>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Pročelnici svih upravnih odjela</w:t>
            </w:r>
          </w:p>
        </w:tc>
      </w:tr>
      <w:tr w:rsidR="000F0498" w:rsidRPr="00B65096" w:rsidTr="000F0498">
        <w:trPr>
          <w:trHeight w:val="1110"/>
        </w:trPr>
        <w:tc>
          <w:tcPr>
            <w:tcW w:w="2550" w:type="dxa"/>
            <w:tcBorders>
              <w:top w:val="nil"/>
              <w:left w:val="single" w:sz="4" w:space="0" w:color="auto"/>
              <w:bottom w:val="single" w:sz="4" w:space="0" w:color="auto"/>
              <w:right w:val="single" w:sz="4" w:space="0" w:color="auto"/>
            </w:tcBorders>
            <w:shd w:val="clear" w:color="auto" w:fill="auto"/>
            <w:vAlign w:val="center"/>
            <w:hideMark/>
          </w:tcPr>
          <w:p w:rsidR="000F0498" w:rsidRPr="00B65096" w:rsidRDefault="000F0498" w:rsidP="000F0498">
            <w:pPr>
              <w:spacing w:after="0" w:line="240" w:lineRule="auto"/>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Praćenje naplate prihoda i provođenje više mjera prisilne naplate</w:t>
            </w:r>
          </w:p>
        </w:tc>
        <w:tc>
          <w:tcPr>
            <w:tcW w:w="2764" w:type="dxa"/>
            <w:tcBorders>
              <w:top w:val="nil"/>
              <w:left w:val="nil"/>
              <w:bottom w:val="single" w:sz="4" w:space="0" w:color="auto"/>
              <w:right w:val="single" w:sz="4" w:space="0" w:color="auto"/>
            </w:tcBorders>
            <w:shd w:val="clear" w:color="auto" w:fill="auto"/>
            <w:vAlign w:val="center"/>
            <w:hideMark/>
          </w:tcPr>
          <w:p w:rsidR="000F0498" w:rsidRPr="00B65096" w:rsidRDefault="000F0498" w:rsidP="000F0498">
            <w:pPr>
              <w:spacing w:after="0" w:line="240" w:lineRule="auto"/>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Postupanje prema važećem Pravilniku o postupcima naplate potraživanja</w:t>
            </w:r>
          </w:p>
        </w:tc>
        <w:tc>
          <w:tcPr>
            <w:tcW w:w="1272" w:type="dxa"/>
            <w:tcBorders>
              <w:top w:val="nil"/>
              <w:left w:val="nil"/>
              <w:bottom w:val="single" w:sz="4" w:space="0" w:color="auto"/>
              <w:right w:val="single" w:sz="4" w:space="0" w:color="auto"/>
            </w:tcBorders>
            <w:shd w:val="clear" w:color="auto" w:fill="auto"/>
            <w:vAlign w:val="center"/>
            <w:hideMark/>
          </w:tcPr>
          <w:p w:rsidR="000F0498" w:rsidRPr="00B65096" w:rsidRDefault="000F0498" w:rsidP="000F0498">
            <w:pPr>
              <w:spacing w:after="0" w:line="240" w:lineRule="auto"/>
              <w:jc w:val="center"/>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31.12.2022.</w:t>
            </w:r>
          </w:p>
        </w:tc>
        <w:tc>
          <w:tcPr>
            <w:tcW w:w="1516" w:type="dxa"/>
            <w:tcBorders>
              <w:top w:val="nil"/>
              <w:left w:val="nil"/>
              <w:bottom w:val="single" w:sz="4" w:space="0" w:color="auto"/>
              <w:right w:val="single" w:sz="4" w:space="0" w:color="auto"/>
            </w:tcBorders>
            <w:shd w:val="clear" w:color="auto" w:fill="auto"/>
            <w:vAlign w:val="center"/>
            <w:hideMark/>
          </w:tcPr>
          <w:p w:rsidR="000F0498" w:rsidRPr="00B65096" w:rsidRDefault="000F0498" w:rsidP="000F0498">
            <w:pPr>
              <w:spacing w:after="0" w:line="240" w:lineRule="auto"/>
              <w:jc w:val="center"/>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3,0 milijuna kuna</w:t>
            </w:r>
          </w:p>
        </w:tc>
        <w:tc>
          <w:tcPr>
            <w:tcW w:w="1958" w:type="dxa"/>
            <w:tcBorders>
              <w:top w:val="nil"/>
              <w:left w:val="nil"/>
              <w:bottom w:val="single" w:sz="4" w:space="0" w:color="auto"/>
              <w:right w:val="single" w:sz="4" w:space="0" w:color="auto"/>
            </w:tcBorders>
            <w:shd w:val="clear" w:color="auto" w:fill="auto"/>
            <w:vAlign w:val="center"/>
            <w:hideMark/>
          </w:tcPr>
          <w:p w:rsidR="000F0498" w:rsidRPr="00B65096" w:rsidRDefault="000F0498" w:rsidP="000F0498">
            <w:pPr>
              <w:spacing w:after="0" w:line="240" w:lineRule="auto"/>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Pročelnik Upravnog odjela za financije</w:t>
            </w:r>
          </w:p>
        </w:tc>
      </w:tr>
      <w:tr w:rsidR="000F0498" w:rsidRPr="00B65096" w:rsidTr="000F0498">
        <w:trPr>
          <w:trHeight w:val="1020"/>
        </w:trPr>
        <w:tc>
          <w:tcPr>
            <w:tcW w:w="2550" w:type="dxa"/>
            <w:tcBorders>
              <w:top w:val="nil"/>
              <w:left w:val="single" w:sz="4" w:space="0" w:color="auto"/>
              <w:bottom w:val="single" w:sz="4" w:space="0" w:color="auto"/>
              <w:right w:val="single" w:sz="4" w:space="0" w:color="auto"/>
            </w:tcBorders>
            <w:shd w:val="clear" w:color="auto" w:fill="auto"/>
            <w:vAlign w:val="center"/>
            <w:hideMark/>
          </w:tcPr>
          <w:p w:rsidR="000F0498" w:rsidRPr="00B65096" w:rsidRDefault="000F0498" w:rsidP="000F0498">
            <w:pPr>
              <w:spacing w:after="0" w:line="240" w:lineRule="auto"/>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Povećanje financiranja proračunskih projekata i aktivnosti iz vanjskih izvora financiranja</w:t>
            </w:r>
          </w:p>
        </w:tc>
        <w:tc>
          <w:tcPr>
            <w:tcW w:w="2764" w:type="dxa"/>
            <w:tcBorders>
              <w:top w:val="nil"/>
              <w:left w:val="nil"/>
              <w:bottom w:val="single" w:sz="4" w:space="0" w:color="auto"/>
              <w:right w:val="single" w:sz="4" w:space="0" w:color="auto"/>
            </w:tcBorders>
            <w:shd w:val="clear" w:color="auto" w:fill="auto"/>
            <w:vAlign w:val="center"/>
            <w:hideMark/>
          </w:tcPr>
          <w:p w:rsidR="000F0498" w:rsidRPr="00B65096" w:rsidRDefault="000F0498" w:rsidP="000F0498">
            <w:pPr>
              <w:spacing w:after="0" w:line="240" w:lineRule="auto"/>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Veća orijentiranost na EU i nacionalne izvore financiranja apliciranjem projekata</w:t>
            </w:r>
          </w:p>
        </w:tc>
        <w:tc>
          <w:tcPr>
            <w:tcW w:w="1272" w:type="dxa"/>
            <w:tcBorders>
              <w:top w:val="nil"/>
              <w:left w:val="nil"/>
              <w:bottom w:val="single" w:sz="4" w:space="0" w:color="auto"/>
              <w:right w:val="single" w:sz="4" w:space="0" w:color="auto"/>
            </w:tcBorders>
            <w:shd w:val="clear" w:color="auto" w:fill="auto"/>
            <w:vAlign w:val="center"/>
            <w:hideMark/>
          </w:tcPr>
          <w:p w:rsidR="000F0498" w:rsidRPr="00B65096" w:rsidRDefault="000F0498" w:rsidP="000F0498">
            <w:pPr>
              <w:spacing w:after="0" w:line="240" w:lineRule="auto"/>
              <w:jc w:val="center"/>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31.12.2022.</w:t>
            </w:r>
          </w:p>
        </w:tc>
        <w:tc>
          <w:tcPr>
            <w:tcW w:w="1516" w:type="dxa"/>
            <w:tcBorders>
              <w:top w:val="nil"/>
              <w:left w:val="nil"/>
              <w:bottom w:val="single" w:sz="4" w:space="0" w:color="auto"/>
              <w:right w:val="single" w:sz="4" w:space="0" w:color="auto"/>
            </w:tcBorders>
            <w:shd w:val="clear" w:color="auto" w:fill="auto"/>
            <w:vAlign w:val="center"/>
            <w:hideMark/>
          </w:tcPr>
          <w:p w:rsidR="000F0498" w:rsidRPr="00B65096" w:rsidRDefault="000F0498" w:rsidP="000F0498">
            <w:pPr>
              <w:spacing w:after="0" w:line="240" w:lineRule="auto"/>
              <w:jc w:val="center"/>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21,0 milijuna kuna</w:t>
            </w:r>
          </w:p>
        </w:tc>
        <w:tc>
          <w:tcPr>
            <w:tcW w:w="1958" w:type="dxa"/>
            <w:tcBorders>
              <w:top w:val="nil"/>
              <w:left w:val="nil"/>
              <w:bottom w:val="single" w:sz="4" w:space="0" w:color="auto"/>
              <w:right w:val="single" w:sz="4" w:space="0" w:color="auto"/>
            </w:tcBorders>
            <w:shd w:val="clear" w:color="auto" w:fill="auto"/>
            <w:vAlign w:val="center"/>
            <w:hideMark/>
          </w:tcPr>
          <w:p w:rsidR="000F0498" w:rsidRPr="00B65096" w:rsidRDefault="000F0498" w:rsidP="000F0498">
            <w:pPr>
              <w:spacing w:after="0" w:line="240" w:lineRule="auto"/>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Pročelnik Upravnog odjela za gospodarstvo, poduzetništvo i razvoj</w:t>
            </w:r>
          </w:p>
        </w:tc>
      </w:tr>
      <w:tr w:rsidR="000F0498" w:rsidRPr="00B65096" w:rsidTr="000F0498">
        <w:trPr>
          <w:trHeight w:val="1110"/>
        </w:trPr>
        <w:tc>
          <w:tcPr>
            <w:tcW w:w="2550" w:type="dxa"/>
            <w:tcBorders>
              <w:top w:val="nil"/>
              <w:left w:val="single" w:sz="4" w:space="0" w:color="auto"/>
              <w:bottom w:val="single" w:sz="4" w:space="0" w:color="auto"/>
              <w:right w:val="single" w:sz="4" w:space="0" w:color="auto"/>
            </w:tcBorders>
            <w:shd w:val="clear" w:color="auto" w:fill="auto"/>
            <w:vAlign w:val="center"/>
            <w:hideMark/>
          </w:tcPr>
          <w:p w:rsidR="000F0498" w:rsidRPr="00B65096" w:rsidRDefault="000F0498" w:rsidP="000F0498">
            <w:pPr>
              <w:spacing w:after="0" w:line="240" w:lineRule="auto"/>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Uvođenje sustava za evidentiranje nekretnina u vlasništvu Grada</w:t>
            </w:r>
          </w:p>
        </w:tc>
        <w:tc>
          <w:tcPr>
            <w:tcW w:w="2764" w:type="dxa"/>
            <w:tcBorders>
              <w:top w:val="nil"/>
              <w:left w:val="nil"/>
              <w:bottom w:val="single" w:sz="4" w:space="0" w:color="auto"/>
              <w:right w:val="single" w:sz="4" w:space="0" w:color="auto"/>
            </w:tcBorders>
            <w:shd w:val="clear" w:color="auto" w:fill="auto"/>
            <w:vAlign w:val="center"/>
            <w:hideMark/>
          </w:tcPr>
          <w:p w:rsidR="000F0498" w:rsidRPr="00B65096" w:rsidRDefault="000F0498" w:rsidP="000F0498">
            <w:pPr>
              <w:spacing w:after="0" w:line="240" w:lineRule="auto"/>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Izrada registra nekretnina u vlasništvu Grada i učinkovito raspolaganje nekretninama (zakup, najam, prodaja)</w:t>
            </w:r>
          </w:p>
        </w:tc>
        <w:tc>
          <w:tcPr>
            <w:tcW w:w="1272" w:type="dxa"/>
            <w:tcBorders>
              <w:top w:val="nil"/>
              <w:left w:val="nil"/>
              <w:bottom w:val="single" w:sz="4" w:space="0" w:color="auto"/>
              <w:right w:val="single" w:sz="4" w:space="0" w:color="auto"/>
            </w:tcBorders>
            <w:shd w:val="clear" w:color="auto" w:fill="auto"/>
            <w:vAlign w:val="center"/>
            <w:hideMark/>
          </w:tcPr>
          <w:p w:rsidR="000F0498" w:rsidRPr="00B65096" w:rsidRDefault="000F0498" w:rsidP="000F0498">
            <w:pPr>
              <w:spacing w:after="0" w:line="240" w:lineRule="auto"/>
              <w:jc w:val="center"/>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31.12.2022.</w:t>
            </w:r>
          </w:p>
        </w:tc>
        <w:tc>
          <w:tcPr>
            <w:tcW w:w="1516" w:type="dxa"/>
            <w:tcBorders>
              <w:top w:val="nil"/>
              <w:left w:val="nil"/>
              <w:bottom w:val="single" w:sz="4" w:space="0" w:color="auto"/>
              <w:right w:val="single" w:sz="4" w:space="0" w:color="auto"/>
            </w:tcBorders>
            <w:shd w:val="clear" w:color="auto" w:fill="auto"/>
            <w:vAlign w:val="center"/>
            <w:hideMark/>
          </w:tcPr>
          <w:p w:rsidR="000F0498" w:rsidRPr="00B65096" w:rsidRDefault="000F0498" w:rsidP="000F0498">
            <w:pPr>
              <w:spacing w:after="0" w:line="240" w:lineRule="auto"/>
              <w:jc w:val="center"/>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1,5 milijuna kuna</w:t>
            </w:r>
          </w:p>
        </w:tc>
        <w:tc>
          <w:tcPr>
            <w:tcW w:w="1958" w:type="dxa"/>
            <w:tcBorders>
              <w:top w:val="nil"/>
              <w:left w:val="nil"/>
              <w:bottom w:val="single" w:sz="4" w:space="0" w:color="auto"/>
              <w:right w:val="single" w:sz="4" w:space="0" w:color="auto"/>
            </w:tcBorders>
            <w:shd w:val="clear" w:color="auto" w:fill="auto"/>
            <w:vAlign w:val="center"/>
            <w:hideMark/>
          </w:tcPr>
          <w:p w:rsidR="000F0498" w:rsidRPr="00B65096" w:rsidRDefault="000F0498" w:rsidP="000F0498">
            <w:pPr>
              <w:spacing w:after="0" w:line="240" w:lineRule="auto"/>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Pročelnik Upravnog odjela za gospodarenje gradskom imovinom</w:t>
            </w:r>
          </w:p>
        </w:tc>
      </w:tr>
      <w:tr w:rsidR="000F0498" w:rsidRPr="00B65096" w:rsidTr="000F0498">
        <w:trPr>
          <w:trHeight w:val="960"/>
        </w:trPr>
        <w:tc>
          <w:tcPr>
            <w:tcW w:w="2550" w:type="dxa"/>
            <w:tcBorders>
              <w:top w:val="nil"/>
              <w:left w:val="single" w:sz="4" w:space="0" w:color="auto"/>
              <w:bottom w:val="single" w:sz="4" w:space="0" w:color="auto"/>
              <w:right w:val="single" w:sz="4" w:space="0" w:color="auto"/>
            </w:tcBorders>
            <w:shd w:val="clear" w:color="auto" w:fill="auto"/>
            <w:vAlign w:val="center"/>
            <w:hideMark/>
          </w:tcPr>
          <w:p w:rsidR="000F0498" w:rsidRPr="00B65096" w:rsidRDefault="000F0498" w:rsidP="000F0498">
            <w:pPr>
              <w:spacing w:after="0" w:line="240" w:lineRule="auto"/>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Smanjenje materijalnih rashoda uz zadržavanje kvalitete rada i pružanja usluga građanima</w:t>
            </w:r>
          </w:p>
        </w:tc>
        <w:tc>
          <w:tcPr>
            <w:tcW w:w="2764" w:type="dxa"/>
            <w:tcBorders>
              <w:top w:val="nil"/>
              <w:left w:val="nil"/>
              <w:bottom w:val="single" w:sz="4" w:space="0" w:color="auto"/>
              <w:right w:val="single" w:sz="4" w:space="0" w:color="auto"/>
            </w:tcBorders>
            <w:shd w:val="clear" w:color="auto" w:fill="auto"/>
            <w:vAlign w:val="center"/>
            <w:hideMark/>
          </w:tcPr>
          <w:p w:rsidR="000F0498" w:rsidRPr="00B65096" w:rsidRDefault="000F0498" w:rsidP="000F0498">
            <w:pPr>
              <w:spacing w:after="0" w:line="240" w:lineRule="auto"/>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Maksimalna racionalizacija materijalnih rashoda</w:t>
            </w:r>
          </w:p>
        </w:tc>
        <w:tc>
          <w:tcPr>
            <w:tcW w:w="1272" w:type="dxa"/>
            <w:tcBorders>
              <w:top w:val="nil"/>
              <w:left w:val="nil"/>
              <w:bottom w:val="single" w:sz="4" w:space="0" w:color="auto"/>
              <w:right w:val="single" w:sz="4" w:space="0" w:color="auto"/>
            </w:tcBorders>
            <w:shd w:val="clear" w:color="auto" w:fill="auto"/>
            <w:vAlign w:val="center"/>
            <w:hideMark/>
          </w:tcPr>
          <w:p w:rsidR="000F0498" w:rsidRPr="00B65096" w:rsidRDefault="000F0498" w:rsidP="000F0498">
            <w:pPr>
              <w:spacing w:after="0" w:line="240" w:lineRule="auto"/>
              <w:jc w:val="center"/>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31.12.2022.</w:t>
            </w:r>
          </w:p>
        </w:tc>
        <w:tc>
          <w:tcPr>
            <w:tcW w:w="1516" w:type="dxa"/>
            <w:tcBorders>
              <w:top w:val="nil"/>
              <w:left w:val="nil"/>
              <w:bottom w:val="single" w:sz="4" w:space="0" w:color="auto"/>
              <w:right w:val="single" w:sz="4" w:space="0" w:color="auto"/>
            </w:tcBorders>
            <w:shd w:val="clear" w:color="auto" w:fill="auto"/>
            <w:vAlign w:val="center"/>
            <w:hideMark/>
          </w:tcPr>
          <w:p w:rsidR="000F0498" w:rsidRPr="00B65096" w:rsidRDefault="000F0498" w:rsidP="000F0498">
            <w:pPr>
              <w:spacing w:after="0" w:line="240" w:lineRule="auto"/>
              <w:jc w:val="center"/>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1,5 milijuna kuna</w:t>
            </w:r>
          </w:p>
        </w:tc>
        <w:tc>
          <w:tcPr>
            <w:tcW w:w="1958" w:type="dxa"/>
            <w:tcBorders>
              <w:top w:val="nil"/>
              <w:left w:val="nil"/>
              <w:bottom w:val="single" w:sz="4" w:space="0" w:color="auto"/>
              <w:right w:val="single" w:sz="4" w:space="0" w:color="auto"/>
            </w:tcBorders>
            <w:shd w:val="clear" w:color="auto" w:fill="auto"/>
            <w:vAlign w:val="center"/>
            <w:hideMark/>
          </w:tcPr>
          <w:p w:rsidR="000F0498" w:rsidRPr="00B65096" w:rsidRDefault="000F0498" w:rsidP="000F0498">
            <w:pPr>
              <w:spacing w:after="0" w:line="240" w:lineRule="auto"/>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Pročelnici svih upravnih odjela</w:t>
            </w:r>
          </w:p>
        </w:tc>
      </w:tr>
      <w:tr w:rsidR="000F0498" w:rsidRPr="00641E6B" w:rsidTr="000F0498">
        <w:trPr>
          <w:trHeight w:val="780"/>
        </w:trPr>
        <w:tc>
          <w:tcPr>
            <w:tcW w:w="2550" w:type="dxa"/>
            <w:tcBorders>
              <w:top w:val="nil"/>
              <w:left w:val="single" w:sz="4" w:space="0" w:color="auto"/>
              <w:bottom w:val="single" w:sz="4" w:space="0" w:color="auto"/>
              <w:right w:val="single" w:sz="4" w:space="0" w:color="auto"/>
            </w:tcBorders>
            <w:shd w:val="clear" w:color="auto" w:fill="auto"/>
            <w:vAlign w:val="center"/>
            <w:hideMark/>
          </w:tcPr>
          <w:p w:rsidR="000F0498" w:rsidRPr="00B65096" w:rsidRDefault="000F0498" w:rsidP="000F0498">
            <w:pPr>
              <w:spacing w:after="0" w:line="240" w:lineRule="auto"/>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Obračun zakonskih zateznih kamata</w:t>
            </w:r>
          </w:p>
        </w:tc>
        <w:tc>
          <w:tcPr>
            <w:tcW w:w="2764" w:type="dxa"/>
            <w:tcBorders>
              <w:top w:val="nil"/>
              <w:left w:val="nil"/>
              <w:bottom w:val="single" w:sz="4" w:space="0" w:color="auto"/>
              <w:right w:val="single" w:sz="4" w:space="0" w:color="auto"/>
            </w:tcBorders>
            <w:shd w:val="clear" w:color="auto" w:fill="auto"/>
            <w:vAlign w:val="center"/>
            <w:hideMark/>
          </w:tcPr>
          <w:p w:rsidR="000F0498" w:rsidRPr="00B65096" w:rsidRDefault="000F0498" w:rsidP="000F0498">
            <w:pPr>
              <w:spacing w:after="0" w:line="240" w:lineRule="auto"/>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Programsko rješenje obračuna zateznih kamata i prikaz na izdanim računima</w:t>
            </w:r>
          </w:p>
        </w:tc>
        <w:tc>
          <w:tcPr>
            <w:tcW w:w="1272" w:type="dxa"/>
            <w:tcBorders>
              <w:top w:val="nil"/>
              <w:left w:val="nil"/>
              <w:bottom w:val="single" w:sz="4" w:space="0" w:color="auto"/>
              <w:right w:val="single" w:sz="4" w:space="0" w:color="auto"/>
            </w:tcBorders>
            <w:shd w:val="clear" w:color="auto" w:fill="auto"/>
            <w:vAlign w:val="center"/>
            <w:hideMark/>
          </w:tcPr>
          <w:p w:rsidR="000F0498" w:rsidRPr="00B65096" w:rsidRDefault="000F0498" w:rsidP="000F0498">
            <w:pPr>
              <w:spacing w:after="0" w:line="240" w:lineRule="auto"/>
              <w:jc w:val="center"/>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31.12.2022.</w:t>
            </w:r>
          </w:p>
        </w:tc>
        <w:tc>
          <w:tcPr>
            <w:tcW w:w="1516" w:type="dxa"/>
            <w:tcBorders>
              <w:top w:val="nil"/>
              <w:left w:val="nil"/>
              <w:bottom w:val="single" w:sz="4" w:space="0" w:color="auto"/>
              <w:right w:val="single" w:sz="4" w:space="0" w:color="auto"/>
            </w:tcBorders>
            <w:shd w:val="clear" w:color="auto" w:fill="auto"/>
            <w:vAlign w:val="center"/>
            <w:hideMark/>
          </w:tcPr>
          <w:p w:rsidR="000F0498" w:rsidRPr="00B65096" w:rsidRDefault="000F0498" w:rsidP="000F0498">
            <w:pPr>
              <w:spacing w:after="0" w:line="240" w:lineRule="auto"/>
              <w:jc w:val="center"/>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4,0 milijuna kuna</w:t>
            </w:r>
          </w:p>
        </w:tc>
        <w:tc>
          <w:tcPr>
            <w:tcW w:w="1958" w:type="dxa"/>
            <w:tcBorders>
              <w:top w:val="nil"/>
              <w:left w:val="nil"/>
              <w:bottom w:val="single" w:sz="4" w:space="0" w:color="auto"/>
              <w:right w:val="single" w:sz="4" w:space="0" w:color="auto"/>
            </w:tcBorders>
            <w:shd w:val="clear" w:color="auto" w:fill="auto"/>
            <w:vAlign w:val="center"/>
            <w:hideMark/>
          </w:tcPr>
          <w:p w:rsidR="000F0498" w:rsidRPr="00641E6B" w:rsidRDefault="000F0498" w:rsidP="000F0498">
            <w:pPr>
              <w:spacing w:after="0" w:line="240" w:lineRule="auto"/>
              <w:rPr>
                <w:rFonts w:ascii="Times New Roman" w:eastAsia="Times New Roman" w:hAnsi="Times New Roman" w:cs="Times New Roman"/>
                <w:color w:val="000000"/>
                <w:lang w:eastAsia="hr-HR"/>
              </w:rPr>
            </w:pPr>
            <w:r w:rsidRPr="00B65096">
              <w:rPr>
                <w:rFonts w:ascii="Times New Roman" w:eastAsia="Times New Roman" w:hAnsi="Times New Roman" w:cs="Times New Roman"/>
                <w:color w:val="000000"/>
                <w:lang w:eastAsia="hr-HR"/>
              </w:rPr>
              <w:t>Pročelnik Upravnog odjela za komunalne djelatnosti</w:t>
            </w:r>
          </w:p>
        </w:tc>
      </w:tr>
    </w:tbl>
    <w:p w:rsidR="00CF75EA" w:rsidRDefault="00CF75EA" w:rsidP="003623F1">
      <w:pPr>
        <w:pStyle w:val="Bezproreda"/>
        <w:jc w:val="both"/>
        <w:rPr>
          <w:rFonts w:ascii="Times New Roman" w:eastAsia="Calibri" w:hAnsi="Times New Roman" w:cs="Times New Roman"/>
          <w:sz w:val="24"/>
          <w:szCs w:val="24"/>
        </w:rPr>
      </w:pPr>
    </w:p>
    <w:p w:rsidR="000756CF" w:rsidRDefault="000756CF" w:rsidP="004F2EB8">
      <w:pPr>
        <w:pStyle w:val="Bezproreda"/>
        <w:ind w:firstLine="708"/>
        <w:jc w:val="both"/>
        <w:rPr>
          <w:rFonts w:ascii="Times New Roman" w:eastAsia="Calibri" w:hAnsi="Times New Roman" w:cs="Times New Roman"/>
          <w:sz w:val="24"/>
          <w:szCs w:val="24"/>
        </w:rPr>
      </w:pPr>
    </w:p>
    <w:p w:rsidR="003B2369" w:rsidRPr="00737172" w:rsidRDefault="003A6D58" w:rsidP="004F2EB8">
      <w:pPr>
        <w:pStyle w:val="Bezproreda"/>
        <w:ind w:firstLine="708"/>
        <w:jc w:val="both"/>
        <w:rPr>
          <w:rFonts w:ascii="Times New Roman" w:eastAsia="Calibri" w:hAnsi="Times New Roman" w:cs="Times New Roman"/>
          <w:sz w:val="24"/>
          <w:szCs w:val="24"/>
        </w:rPr>
      </w:pPr>
      <w:r w:rsidRPr="0044579C">
        <w:rPr>
          <w:rFonts w:ascii="Times New Roman" w:eastAsia="Calibri" w:hAnsi="Times New Roman" w:cs="Times New Roman"/>
          <w:sz w:val="24"/>
          <w:szCs w:val="24"/>
        </w:rPr>
        <w:lastRenderedPageBreak/>
        <w:t xml:space="preserve">Planirani financijski učinak predloženih mjera je suficit proračuna </w:t>
      </w:r>
      <w:r w:rsidR="00ED000B">
        <w:rPr>
          <w:rFonts w:ascii="Times New Roman" w:eastAsia="Calibri" w:hAnsi="Times New Roman" w:cs="Times New Roman"/>
          <w:sz w:val="24"/>
          <w:szCs w:val="24"/>
        </w:rPr>
        <w:t>u</w:t>
      </w:r>
      <w:r w:rsidRPr="0044579C">
        <w:rPr>
          <w:rFonts w:ascii="Times New Roman" w:eastAsia="Calibri" w:hAnsi="Times New Roman" w:cs="Times New Roman"/>
          <w:sz w:val="24"/>
          <w:szCs w:val="24"/>
        </w:rPr>
        <w:t xml:space="preserve"> razdoblj</w:t>
      </w:r>
      <w:r w:rsidR="00ED000B">
        <w:rPr>
          <w:rFonts w:ascii="Times New Roman" w:eastAsia="Calibri" w:hAnsi="Times New Roman" w:cs="Times New Roman"/>
          <w:sz w:val="24"/>
          <w:szCs w:val="24"/>
        </w:rPr>
        <w:t>u</w:t>
      </w:r>
      <w:r w:rsidRPr="0044579C">
        <w:rPr>
          <w:rFonts w:ascii="Times New Roman" w:eastAsia="Calibri" w:hAnsi="Times New Roman" w:cs="Times New Roman"/>
          <w:sz w:val="24"/>
          <w:szCs w:val="24"/>
        </w:rPr>
        <w:t xml:space="preserve"> od 2020</w:t>
      </w:r>
      <w:r w:rsidR="00ED000B">
        <w:rPr>
          <w:rFonts w:ascii="Times New Roman" w:eastAsia="Calibri" w:hAnsi="Times New Roman" w:cs="Times New Roman"/>
          <w:sz w:val="24"/>
          <w:szCs w:val="24"/>
        </w:rPr>
        <w:t>.</w:t>
      </w:r>
      <w:r w:rsidRPr="0044579C">
        <w:rPr>
          <w:rFonts w:ascii="Times New Roman" w:eastAsia="Calibri" w:hAnsi="Times New Roman" w:cs="Times New Roman"/>
          <w:sz w:val="24"/>
          <w:szCs w:val="24"/>
        </w:rPr>
        <w:t>-2022. godine</w:t>
      </w:r>
      <w:r w:rsidR="003E78D7">
        <w:rPr>
          <w:rFonts w:ascii="Times New Roman" w:eastAsia="Calibri" w:hAnsi="Times New Roman" w:cs="Times New Roman"/>
          <w:sz w:val="24"/>
          <w:szCs w:val="24"/>
        </w:rPr>
        <w:t xml:space="preserve">, </w:t>
      </w:r>
      <w:r w:rsidRPr="0044579C">
        <w:rPr>
          <w:rFonts w:ascii="Times New Roman" w:eastAsia="Calibri" w:hAnsi="Times New Roman" w:cs="Times New Roman"/>
          <w:sz w:val="24"/>
          <w:szCs w:val="24"/>
        </w:rPr>
        <w:t xml:space="preserve">odnosno </w:t>
      </w:r>
      <w:r w:rsidR="003E78D7">
        <w:rPr>
          <w:rFonts w:ascii="Times New Roman" w:eastAsia="Calibri" w:hAnsi="Times New Roman" w:cs="Times New Roman"/>
          <w:sz w:val="24"/>
          <w:szCs w:val="24"/>
        </w:rPr>
        <w:t xml:space="preserve">sukcesivno </w:t>
      </w:r>
      <w:r w:rsidRPr="0044579C">
        <w:rPr>
          <w:rFonts w:ascii="Times New Roman" w:eastAsia="Calibri" w:hAnsi="Times New Roman" w:cs="Times New Roman"/>
          <w:sz w:val="24"/>
          <w:szCs w:val="24"/>
        </w:rPr>
        <w:t>pokriće planiranog manjka prihoda i primitaka u navedenom razdoblju</w:t>
      </w:r>
      <w:r w:rsidR="003E78D7">
        <w:rPr>
          <w:rFonts w:ascii="Times New Roman" w:eastAsia="Calibri" w:hAnsi="Times New Roman" w:cs="Times New Roman"/>
          <w:sz w:val="24"/>
          <w:szCs w:val="24"/>
        </w:rPr>
        <w:t xml:space="preserve"> i to u tri jednaka dijela</w:t>
      </w:r>
      <w:r w:rsidR="00DA671C">
        <w:rPr>
          <w:rFonts w:ascii="Times New Roman" w:eastAsia="Calibri" w:hAnsi="Times New Roman" w:cs="Times New Roman"/>
          <w:sz w:val="24"/>
          <w:szCs w:val="24"/>
        </w:rPr>
        <w:t xml:space="preserve">, odnosno </w:t>
      </w:r>
      <w:r w:rsidR="003623F1">
        <w:rPr>
          <w:rFonts w:ascii="Times New Roman" w:eastAsia="Calibri" w:hAnsi="Times New Roman" w:cs="Times New Roman"/>
          <w:sz w:val="24"/>
          <w:szCs w:val="24"/>
        </w:rPr>
        <w:t xml:space="preserve">u iznosu od </w:t>
      </w:r>
      <w:r w:rsidR="00DA671C">
        <w:rPr>
          <w:rFonts w:ascii="Times New Roman" w:eastAsia="Calibri" w:hAnsi="Times New Roman" w:cs="Times New Roman"/>
          <w:sz w:val="24"/>
          <w:szCs w:val="24"/>
        </w:rPr>
        <w:t>11.172.000 kn godišnje</w:t>
      </w:r>
      <w:r w:rsidR="00D5204E">
        <w:rPr>
          <w:rFonts w:ascii="Times New Roman" w:eastAsia="Calibri" w:hAnsi="Times New Roman" w:cs="Times New Roman"/>
          <w:sz w:val="24"/>
          <w:szCs w:val="24"/>
        </w:rPr>
        <w:t>.</w:t>
      </w:r>
    </w:p>
    <w:sectPr w:rsidR="003B2369" w:rsidRPr="0073717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FFF" w:rsidRDefault="001A4FFF" w:rsidP="006E41E7">
      <w:pPr>
        <w:spacing w:after="0" w:line="240" w:lineRule="auto"/>
      </w:pPr>
      <w:r>
        <w:separator/>
      </w:r>
    </w:p>
  </w:endnote>
  <w:endnote w:type="continuationSeparator" w:id="0">
    <w:p w:rsidR="001A4FFF" w:rsidRDefault="001A4FFF" w:rsidP="006E4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598141"/>
      <w:docPartObj>
        <w:docPartGallery w:val="Page Numbers (Bottom of Page)"/>
        <w:docPartUnique/>
      </w:docPartObj>
    </w:sdtPr>
    <w:sdtEndPr/>
    <w:sdtContent>
      <w:p w:rsidR="006E41E7" w:rsidRDefault="006E41E7">
        <w:pPr>
          <w:pStyle w:val="Podnoje"/>
          <w:jc w:val="center"/>
        </w:pPr>
        <w:r>
          <w:fldChar w:fldCharType="begin"/>
        </w:r>
        <w:r>
          <w:instrText>PAGE   \* MERGEFORMAT</w:instrText>
        </w:r>
        <w:r>
          <w:fldChar w:fldCharType="separate"/>
        </w:r>
        <w:r w:rsidR="00D27793">
          <w:rPr>
            <w:noProof/>
          </w:rPr>
          <w:t>2</w:t>
        </w:r>
        <w:r>
          <w:fldChar w:fldCharType="end"/>
        </w:r>
      </w:p>
    </w:sdtContent>
  </w:sdt>
  <w:p w:rsidR="006E41E7" w:rsidRDefault="006E41E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FFF" w:rsidRDefault="001A4FFF" w:rsidP="006E41E7">
      <w:pPr>
        <w:spacing w:after="0" w:line="240" w:lineRule="auto"/>
      </w:pPr>
      <w:r>
        <w:separator/>
      </w:r>
    </w:p>
  </w:footnote>
  <w:footnote w:type="continuationSeparator" w:id="0">
    <w:p w:rsidR="001A4FFF" w:rsidRDefault="001A4FFF" w:rsidP="006E41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2838"/>
    <w:multiLevelType w:val="hybridMultilevel"/>
    <w:tmpl w:val="C21C3DA2"/>
    <w:lvl w:ilvl="0" w:tplc="E93A12B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nsid w:val="0F2536D5"/>
    <w:multiLevelType w:val="hybridMultilevel"/>
    <w:tmpl w:val="DEA4CA10"/>
    <w:lvl w:ilvl="0" w:tplc="041A000F">
      <w:start w:val="3"/>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53F52B4"/>
    <w:multiLevelType w:val="hybridMultilevel"/>
    <w:tmpl w:val="AE3233F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F8A2870"/>
    <w:multiLevelType w:val="hybridMultilevel"/>
    <w:tmpl w:val="F1A6F3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06F7D3A"/>
    <w:multiLevelType w:val="hybridMultilevel"/>
    <w:tmpl w:val="0882C03E"/>
    <w:lvl w:ilvl="0" w:tplc="C9766EFA">
      <w:start w:val="4"/>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nsid w:val="21C70743"/>
    <w:multiLevelType w:val="hybridMultilevel"/>
    <w:tmpl w:val="3B603EF2"/>
    <w:lvl w:ilvl="0" w:tplc="D5F82E86">
      <w:start w:val="193"/>
      <w:numFmt w:val="bullet"/>
      <w:lvlText w:val="-"/>
      <w:lvlJc w:val="left"/>
      <w:pPr>
        <w:ind w:left="1068" w:hanging="360"/>
      </w:pPr>
      <w:rPr>
        <w:rFonts w:ascii="Calibri" w:eastAsiaTheme="minorHAnsi" w:hAnsi="Calibri" w:cstheme="minorBidi" w:hint="default"/>
        <w:b w:val="0"/>
        <w:sz w:val="22"/>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nsid w:val="22F83236"/>
    <w:multiLevelType w:val="hybridMultilevel"/>
    <w:tmpl w:val="DAC43A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84A22B0"/>
    <w:multiLevelType w:val="hybridMultilevel"/>
    <w:tmpl w:val="0C86F3DA"/>
    <w:lvl w:ilvl="0" w:tplc="4AA4F254">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nsid w:val="450D3FA0"/>
    <w:multiLevelType w:val="hybridMultilevel"/>
    <w:tmpl w:val="A74240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82B4513"/>
    <w:multiLevelType w:val="hybridMultilevel"/>
    <w:tmpl w:val="E3D2B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616417D3"/>
    <w:multiLevelType w:val="hybridMultilevel"/>
    <w:tmpl w:val="EDB245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687812FD"/>
    <w:multiLevelType w:val="hybridMultilevel"/>
    <w:tmpl w:val="6930B8B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6E0F16ED"/>
    <w:multiLevelType w:val="hybridMultilevel"/>
    <w:tmpl w:val="9F20045E"/>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nsid w:val="714244DF"/>
    <w:multiLevelType w:val="hybridMultilevel"/>
    <w:tmpl w:val="BEE83D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8"/>
  </w:num>
  <w:num w:numId="3">
    <w:abstractNumId w:val="12"/>
  </w:num>
  <w:num w:numId="4">
    <w:abstractNumId w:val="3"/>
  </w:num>
  <w:num w:numId="5">
    <w:abstractNumId w:val="9"/>
  </w:num>
  <w:num w:numId="6">
    <w:abstractNumId w:val="6"/>
  </w:num>
  <w:num w:numId="7">
    <w:abstractNumId w:val="0"/>
  </w:num>
  <w:num w:numId="8">
    <w:abstractNumId w:val="1"/>
  </w:num>
  <w:num w:numId="9">
    <w:abstractNumId w:val="5"/>
  </w:num>
  <w:num w:numId="10">
    <w:abstractNumId w:val="2"/>
  </w:num>
  <w:num w:numId="11">
    <w:abstractNumId w:val="11"/>
  </w:num>
  <w:num w:numId="12">
    <w:abstractNumId w:val="4"/>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31E"/>
    <w:rsid w:val="00006033"/>
    <w:rsid w:val="00006A3A"/>
    <w:rsid w:val="000109C2"/>
    <w:rsid w:val="00023B13"/>
    <w:rsid w:val="00023ED8"/>
    <w:rsid w:val="00025164"/>
    <w:rsid w:val="00026D0B"/>
    <w:rsid w:val="000337E6"/>
    <w:rsid w:val="00044CD0"/>
    <w:rsid w:val="00063980"/>
    <w:rsid w:val="000756CF"/>
    <w:rsid w:val="00093BC4"/>
    <w:rsid w:val="00094A54"/>
    <w:rsid w:val="0009558B"/>
    <w:rsid w:val="00095BFD"/>
    <w:rsid w:val="00097D3B"/>
    <w:rsid w:val="000A6AE9"/>
    <w:rsid w:val="000A7DC2"/>
    <w:rsid w:val="000B3040"/>
    <w:rsid w:val="000B49E6"/>
    <w:rsid w:val="000C545F"/>
    <w:rsid w:val="000C7061"/>
    <w:rsid w:val="000C79B7"/>
    <w:rsid w:val="000E34F4"/>
    <w:rsid w:val="000F0498"/>
    <w:rsid w:val="000F1527"/>
    <w:rsid w:val="000F312E"/>
    <w:rsid w:val="000F3E83"/>
    <w:rsid w:val="000F7596"/>
    <w:rsid w:val="00101771"/>
    <w:rsid w:val="00102B58"/>
    <w:rsid w:val="00113199"/>
    <w:rsid w:val="00126791"/>
    <w:rsid w:val="00132A09"/>
    <w:rsid w:val="001342F4"/>
    <w:rsid w:val="00143D2A"/>
    <w:rsid w:val="00157B51"/>
    <w:rsid w:val="0016182A"/>
    <w:rsid w:val="001664B9"/>
    <w:rsid w:val="00172D65"/>
    <w:rsid w:val="0017400F"/>
    <w:rsid w:val="00175DE3"/>
    <w:rsid w:val="00183DA3"/>
    <w:rsid w:val="001870F8"/>
    <w:rsid w:val="001A4FFF"/>
    <w:rsid w:val="001A5A76"/>
    <w:rsid w:val="001A7FD8"/>
    <w:rsid w:val="001B022C"/>
    <w:rsid w:val="001B0852"/>
    <w:rsid w:val="001B0ABA"/>
    <w:rsid w:val="001B1A6A"/>
    <w:rsid w:val="001C33E4"/>
    <w:rsid w:val="001C388C"/>
    <w:rsid w:val="001C63D3"/>
    <w:rsid w:val="001E19AD"/>
    <w:rsid w:val="001E3970"/>
    <w:rsid w:val="001F7D9F"/>
    <w:rsid w:val="00204327"/>
    <w:rsid w:val="00205639"/>
    <w:rsid w:val="00207797"/>
    <w:rsid w:val="00207F24"/>
    <w:rsid w:val="00213115"/>
    <w:rsid w:val="002141E7"/>
    <w:rsid w:val="00221D89"/>
    <w:rsid w:val="00225EEB"/>
    <w:rsid w:val="00230D54"/>
    <w:rsid w:val="0023543B"/>
    <w:rsid w:val="00241CE6"/>
    <w:rsid w:val="00243DB1"/>
    <w:rsid w:val="0024742B"/>
    <w:rsid w:val="002511F2"/>
    <w:rsid w:val="00252D6B"/>
    <w:rsid w:val="00260F0C"/>
    <w:rsid w:val="0026787D"/>
    <w:rsid w:val="00270E8A"/>
    <w:rsid w:val="00271256"/>
    <w:rsid w:val="002725E2"/>
    <w:rsid w:val="0027615A"/>
    <w:rsid w:val="002768E5"/>
    <w:rsid w:val="002875AF"/>
    <w:rsid w:val="00293464"/>
    <w:rsid w:val="00296BB6"/>
    <w:rsid w:val="002A463B"/>
    <w:rsid w:val="002B43A3"/>
    <w:rsid w:val="002C3E92"/>
    <w:rsid w:val="002C7866"/>
    <w:rsid w:val="002D39F9"/>
    <w:rsid w:val="002D566F"/>
    <w:rsid w:val="002D6F72"/>
    <w:rsid w:val="002E3465"/>
    <w:rsid w:val="002F1F56"/>
    <w:rsid w:val="002F455A"/>
    <w:rsid w:val="00300122"/>
    <w:rsid w:val="00301298"/>
    <w:rsid w:val="00311C61"/>
    <w:rsid w:val="00312623"/>
    <w:rsid w:val="00315955"/>
    <w:rsid w:val="00330B83"/>
    <w:rsid w:val="00331D44"/>
    <w:rsid w:val="00336721"/>
    <w:rsid w:val="00337D2B"/>
    <w:rsid w:val="0034234B"/>
    <w:rsid w:val="003515EC"/>
    <w:rsid w:val="00356077"/>
    <w:rsid w:val="00360ABF"/>
    <w:rsid w:val="003623F1"/>
    <w:rsid w:val="00362799"/>
    <w:rsid w:val="003675CA"/>
    <w:rsid w:val="00373E54"/>
    <w:rsid w:val="003859EC"/>
    <w:rsid w:val="00386EB0"/>
    <w:rsid w:val="0039301C"/>
    <w:rsid w:val="003A0DCD"/>
    <w:rsid w:val="003A0F48"/>
    <w:rsid w:val="003A3C93"/>
    <w:rsid w:val="003A6D58"/>
    <w:rsid w:val="003A7453"/>
    <w:rsid w:val="003B2369"/>
    <w:rsid w:val="003B526D"/>
    <w:rsid w:val="003D3C2D"/>
    <w:rsid w:val="003E78D7"/>
    <w:rsid w:val="003F0489"/>
    <w:rsid w:val="003F3F76"/>
    <w:rsid w:val="003F51FC"/>
    <w:rsid w:val="003F6C4F"/>
    <w:rsid w:val="00401B03"/>
    <w:rsid w:val="004173D5"/>
    <w:rsid w:val="00417998"/>
    <w:rsid w:val="00422508"/>
    <w:rsid w:val="00424CD7"/>
    <w:rsid w:val="0043470C"/>
    <w:rsid w:val="00434E9D"/>
    <w:rsid w:val="004421A5"/>
    <w:rsid w:val="004432D7"/>
    <w:rsid w:val="0044579C"/>
    <w:rsid w:val="00445DB6"/>
    <w:rsid w:val="004468CE"/>
    <w:rsid w:val="00454C28"/>
    <w:rsid w:val="00465647"/>
    <w:rsid w:val="00467421"/>
    <w:rsid w:val="004825D6"/>
    <w:rsid w:val="00484814"/>
    <w:rsid w:val="004911BC"/>
    <w:rsid w:val="004A5161"/>
    <w:rsid w:val="004A565D"/>
    <w:rsid w:val="004B16AC"/>
    <w:rsid w:val="004B6ECB"/>
    <w:rsid w:val="004D7C56"/>
    <w:rsid w:val="004E0DEE"/>
    <w:rsid w:val="004E250C"/>
    <w:rsid w:val="004E6E28"/>
    <w:rsid w:val="004E725E"/>
    <w:rsid w:val="004F2EB8"/>
    <w:rsid w:val="004F455C"/>
    <w:rsid w:val="004F61BE"/>
    <w:rsid w:val="004F7B9C"/>
    <w:rsid w:val="00500303"/>
    <w:rsid w:val="00501B25"/>
    <w:rsid w:val="005161B2"/>
    <w:rsid w:val="00520561"/>
    <w:rsid w:val="00522354"/>
    <w:rsid w:val="0052247A"/>
    <w:rsid w:val="0052477B"/>
    <w:rsid w:val="00525F03"/>
    <w:rsid w:val="0053158F"/>
    <w:rsid w:val="00534467"/>
    <w:rsid w:val="005366F0"/>
    <w:rsid w:val="00536F84"/>
    <w:rsid w:val="00541599"/>
    <w:rsid w:val="00545239"/>
    <w:rsid w:val="005453A2"/>
    <w:rsid w:val="00545682"/>
    <w:rsid w:val="00552FE9"/>
    <w:rsid w:val="0055341B"/>
    <w:rsid w:val="00555400"/>
    <w:rsid w:val="00561F52"/>
    <w:rsid w:val="00562306"/>
    <w:rsid w:val="00562308"/>
    <w:rsid w:val="005708CA"/>
    <w:rsid w:val="005715E5"/>
    <w:rsid w:val="005805C1"/>
    <w:rsid w:val="0058219B"/>
    <w:rsid w:val="00587A1C"/>
    <w:rsid w:val="005913A6"/>
    <w:rsid w:val="005A03D2"/>
    <w:rsid w:val="005A4A93"/>
    <w:rsid w:val="005B40E5"/>
    <w:rsid w:val="005B5E19"/>
    <w:rsid w:val="005D3105"/>
    <w:rsid w:val="005D6D91"/>
    <w:rsid w:val="005E3E18"/>
    <w:rsid w:val="005E4040"/>
    <w:rsid w:val="005E5B4E"/>
    <w:rsid w:val="005E72AC"/>
    <w:rsid w:val="00600FC3"/>
    <w:rsid w:val="006011E6"/>
    <w:rsid w:val="0060133C"/>
    <w:rsid w:val="00604430"/>
    <w:rsid w:val="006045D2"/>
    <w:rsid w:val="00613E82"/>
    <w:rsid w:val="006320D0"/>
    <w:rsid w:val="00634FEB"/>
    <w:rsid w:val="00641E6B"/>
    <w:rsid w:val="00646A22"/>
    <w:rsid w:val="00675030"/>
    <w:rsid w:val="00675F9C"/>
    <w:rsid w:val="00685748"/>
    <w:rsid w:val="00687652"/>
    <w:rsid w:val="0069154C"/>
    <w:rsid w:val="00691568"/>
    <w:rsid w:val="006A5F46"/>
    <w:rsid w:val="006A656E"/>
    <w:rsid w:val="006B736B"/>
    <w:rsid w:val="006B7479"/>
    <w:rsid w:val="006C18E2"/>
    <w:rsid w:val="006C1A41"/>
    <w:rsid w:val="006D7D3B"/>
    <w:rsid w:val="006E0A9C"/>
    <w:rsid w:val="006E41E7"/>
    <w:rsid w:val="006E708D"/>
    <w:rsid w:val="0070151F"/>
    <w:rsid w:val="00712F9D"/>
    <w:rsid w:val="0073131E"/>
    <w:rsid w:val="00737172"/>
    <w:rsid w:val="0074035C"/>
    <w:rsid w:val="00747C40"/>
    <w:rsid w:val="0075238F"/>
    <w:rsid w:val="00754DE7"/>
    <w:rsid w:val="007568EA"/>
    <w:rsid w:val="007579C3"/>
    <w:rsid w:val="00761E4C"/>
    <w:rsid w:val="0076559E"/>
    <w:rsid w:val="00787389"/>
    <w:rsid w:val="00790261"/>
    <w:rsid w:val="007913C9"/>
    <w:rsid w:val="007965ED"/>
    <w:rsid w:val="007C2FAB"/>
    <w:rsid w:val="007C32EF"/>
    <w:rsid w:val="007C34EE"/>
    <w:rsid w:val="007E70A2"/>
    <w:rsid w:val="007F08B7"/>
    <w:rsid w:val="0080233D"/>
    <w:rsid w:val="008056BC"/>
    <w:rsid w:val="0080604E"/>
    <w:rsid w:val="00807EF9"/>
    <w:rsid w:val="0081171A"/>
    <w:rsid w:val="0081235B"/>
    <w:rsid w:val="008155BE"/>
    <w:rsid w:val="0081567E"/>
    <w:rsid w:val="00817B0D"/>
    <w:rsid w:val="00825A04"/>
    <w:rsid w:val="0082748D"/>
    <w:rsid w:val="00836728"/>
    <w:rsid w:val="00856FC5"/>
    <w:rsid w:val="008612B4"/>
    <w:rsid w:val="008621F9"/>
    <w:rsid w:val="00862B7C"/>
    <w:rsid w:val="00863091"/>
    <w:rsid w:val="00873423"/>
    <w:rsid w:val="00874594"/>
    <w:rsid w:val="008803FD"/>
    <w:rsid w:val="00880BCD"/>
    <w:rsid w:val="00881B2A"/>
    <w:rsid w:val="00883195"/>
    <w:rsid w:val="008925DE"/>
    <w:rsid w:val="008974B4"/>
    <w:rsid w:val="008A0984"/>
    <w:rsid w:val="008A1126"/>
    <w:rsid w:val="008A318D"/>
    <w:rsid w:val="008B6674"/>
    <w:rsid w:val="008C5EE2"/>
    <w:rsid w:val="008C78F9"/>
    <w:rsid w:val="008D7735"/>
    <w:rsid w:val="008E0EFF"/>
    <w:rsid w:val="009021DB"/>
    <w:rsid w:val="00906BED"/>
    <w:rsid w:val="00913585"/>
    <w:rsid w:val="00925C28"/>
    <w:rsid w:val="00930E28"/>
    <w:rsid w:val="009510D6"/>
    <w:rsid w:val="0095403F"/>
    <w:rsid w:val="00954CB2"/>
    <w:rsid w:val="00962C49"/>
    <w:rsid w:val="0097113F"/>
    <w:rsid w:val="00977C7D"/>
    <w:rsid w:val="00995167"/>
    <w:rsid w:val="00995993"/>
    <w:rsid w:val="009A0839"/>
    <w:rsid w:val="009A1269"/>
    <w:rsid w:val="009A3376"/>
    <w:rsid w:val="009B0E7A"/>
    <w:rsid w:val="009C59C0"/>
    <w:rsid w:val="009D0BAB"/>
    <w:rsid w:val="009D3180"/>
    <w:rsid w:val="009D4AE0"/>
    <w:rsid w:val="009D4FF8"/>
    <w:rsid w:val="009D5D1E"/>
    <w:rsid w:val="009D76B1"/>
    <w:rsid w:val="009E13B1"/>
    <w:rsid w:val="009F2C95"/>
    <w:rsid w:val="00A03230"/>
    <w:rsid w:val="00A052E8"/>
    <w:rsid w:val="00A14B71"/>
    <w:rsid w:val="00A218E4"/>
    <w:rsid w:val="00A25971"/>
    <w:rsid w:val="00A25DF5"/>
    <w:rsid w:val="00A34AB6"/>
    <w:rsid w:val="00A37947"/>
    <w:rsid w:val="00A47911"/>
    <w:rsid w:val="00A53F8B"/>
    <w:rsid w:val="00A614ED"/>
    <w:rsid w:val="00A6219C"/>
    <w:rsid w:val="00A63F66"/>
    <w:rsid w:val="00A660A4"/>
    <w:rsid w:val="00A666ED"/>
    <w:rsid w:val="00A70B37"/>
    <w:rsid w:val="00A73266"/>
    <w:rsid w:val="00A756FE"/>
    <w:rsid w:val="00A81826"/>
    <w:rsid w:val="00AA16B6"/>
    <w:rsid w:val="00AA22F8"/>
    <w:rsid w:val="00AA2BB4"/>
    <w:rsid w:val="00AA7867"/>
    <w:rsid w:val="00AB3114"/>
    <w:rsid w:val="00AD6BED"/>
    <w:rsid w:val="00AE5E02"/>
    <w:rsid w:val="00AF5BB9"/>
    <w:rsid w:val="00B051CF"/>
    <w:rsid w:val="00B0528B"/>
    <w:rsid w:val="00B14DC7"/>
    <w:rsid w:val="00B324AD"/>
    <w:rsid w:val="00B34719"/>
    <w:rsid w:val="00B46A2E"/>
    <w:rsid w:val="00B51C41"/>
    <w:rsid w:val="00B56429"/>
    <w:rsid w:val="00B65096"/>
    <w:rsid w:val="00B709AF"/>
    <w:rsid w:val="00B81C24"/>
    <w:rsid w:val="00BA0A8C"/>
    <w:rsid w:val="00BA128F"/>
    <w:rsid w:val="00BB2CF9"/>
    <w:rsid w:val="00BC35FE"/>
    <w:rsid w:val="00BC5C4B"/>
    <w:rsid w:val="00BD7244"/>
    <w:rsid w:val="00BE18F6"/>
    <w:rsid w:val="00BF5697"/>
    <w:rsid w:val="00C050CA"/>
    <w:rsid w:val="00C06BBC"/>
    <w:rsid w:val="00C07BFC"/>
    <w:rsid w:val="00C140E5"/>
    <w:rsid w:val="00C253B6"/>
    <w:rsid w:val="00C34E6D"/>
    <w:rsid w:val="00C35AB3"/>
    <w:rsid w:val="00C36AF1"/>
    <w:rsid w:val="00C41DE0"/>
    <w:rsid w:val="00C41FCC"/>
    <w:rsid w:val="00C4489D"/>
    <w:rsid w:val="00C52AE8"/>
    <w:rsid w:val="00C618F7"/>
    <w:rsid w:val="00C71BB0"/>
    <w:rsid w:val="00C80DDF"/>
    <w:rsid w:val="00C83BBA"/>
    <w:rsid w:val="00C84A8C"/>
    <w:rsid w:val="00C85F55"/>
    <w:rsid w:val="00C97349"/>
    <w:rsid w:val="00CA2494"/>
    <w:rsid w:val="00CA57F9"/>
    <w:rsid w:val="00CC1B84"/>
    <w:rsid w:val="00CC7677"/>
    <w:rsid w:val="00CD20F4"/>
    <w:rsid w:val="00CD49C3"/>
    <w:rsid w:val="00CE4D33"/>
    <w:rsid w:val="00CF75EA"/>
    <w:rsid w:val="00D064D4"/>
    <w:rsid w:val="00D233EF"/>
    <w:rsid w:val="00D27793"/>
    <w:rsid w:val="00D30BDD"/>
    <w:rsid w:val="00D32723"/>
    <w:rsid w:val="00D340F3"/>
    <w:rsid w:val="00D3593B"/>
    <w:rsid w:val="00D374F1"/>
    <w:rsid w:val="00D40601"/>
    <w:rsid w:val="00D47317"/>
    <w:rsid w:val="00D5204E"/>
    <w:rsid w:val="00D52D44"/>
    <w:rsid w:val="00D55DFC"/>
    <w:rsid w:val="00D64AD2"/>
    <w:rsid w:val="00D67F27"/>
    <w:rsid w:val="00D81BCB"/>
    <w:rsid w:val="00D8338F"/>
    <w:rsid w:val="00D921D5"/>
    <w:rsid w:val="00DA27C9"/>
    <w:rsid w:val="00DA2F15"/>
    <w:rsid w:val="00DA4E5D"/>
    <w:rsid w:val="00DA671C"/>
    <w:rsid w:val="00DB053D"/>
    <w:rsid w:val="00DB609E"/>
    <w:rsid w:val="00DD0320"/>
    <w:rsid w:val="00DD0A9A"/>
    <w:rsid w:val="00DD418C"/>
    <w:rsid w:val="00DD5C80"/>
    <w:rsid w:val="00DD640C"/>
    <w:rsid w:val="00DE0438"/>
    <w:rsid w:val="00DE5491"/>
    <w:rsid w:val="00DE72F7"/>
    <w:rsid w:val="00E1142D"/>
    <w:rsid w:val="00E272A9"/>
    <w:rsid w:val="00E300DB"/>
    <w:rsid w:val="00E44A7E"/>
    <w:rsid w:val="00E46B59"/>
    <w:rsid w:val="00E568E7"/>
    <w:rsid w:val="00E638EB"/>
    <w:rsid w:val="00E6441A"/>
    <w:rsid w:val="00E8070A"/>
    <w:rsid w:val="00E81B26"/>
    <w:rsid w:val="00E8542B"/>
    <w:rsid w:val="00E87B3F"/>
    <w:rsid w:val="00E92647"/>
    <w:rsid w:val="00E957CD"/>
    <w:rsid w:val="00EB24A0"/>
    <w:rsid w:val="00EC5DCC"/>
    <w:rsid w:val="00ED000B"/>
    <w:rsid w:val="00ED0342"/>
    <w:rsid w:val="00ED33C7"/>
    <w:rsid w:val="00ED401C"/>
    <w:rsid w:val="00EE7D8F"/>
    <w:rsid w:val="00EE7FAA"/>
    <w:rsid w:val="00EF4439"/>
    <w:rsid w:val="00EF53C4"/>
    <w:rsid w:val="00F00311"/>
    <w:rsid w:val="00F0112C"/>
    <w:rsid w:val="00F10712"/>
    <w:rsid w:val="00F14C9A"/>
    <w:rsid w:val="00F1765C"/>
    <w:rsid w:val="00F22FF1"/>
    <w:rsid w:val="00F2469F"/>
    <w:rsid w:val="00F25BFF"/>
    <w:rsid w:val="00F30D33"/>
    <w:rsid w:val="00F35D4B"/>
    <w:rsid w:val="00F6034C"/>
    <w:rsid w:val="00F658F9"/>
    <w:rsid w:val="00F7490F"/>
    <w:rsid w:val="00F74E53"/>
    <w:rsid w:val="00F7542C"/>
    <w:rsid w:val="00F76A07"/>
    <w:rsid w:val="00F9061F"/>
    <w:rsid w:val="00F93A66"/>
    <w:rsid w:val="00F970AC"/>
    <w:rsid w:val="00FB0B74"/>
    <w:rsid w:val="00FC6811"/>
    <w:rsid w:val="00FE5C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715E5"/>
    <w:pPr>
      <w:ind w:left="720"/>
      <w:contextualSpacing/>
    </w:pPr>
  </w:style>
  <w:style w:type="paragraph" w:styleId="Bezproreda">
    <w:name w:val="No Spacing"/>
    <w:uiPriority w:val="1"/>
    <w:qFormat/>
    <w:rsid w:val="0080604E"/>
    <w:pPr>
      <w:spacing w:after="0" w:line="240" w:lineRule="auto"/>
    </w:pPr>
  </w:style>
  <w:style w:type="table" w:styleId="Reetkatablice">
    <w:name w:val="Table Grid"/>
    <w:basedOn w:val="Obinatablica"/>
    <w:uiPriority w:val="59"/>
    <w:rsid w:val="008060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jeloteksta3">
    <w:name w:val="Body Text 3"/>
    <w:basedOn w:val="Normal"/>
    <w:link w:val="Tijeloteksta3Char"/>
    <w:semiHidden/>
    <w:rsid w:val="00913585"/>
    <w:pPr>
      <w:spacing w:after="0" w:line="240" w:lineRule="auto"/>
    </w:pPr>
    <w:rPr>
      <w:rFonts w:ascii="Times New Roman" w:eastAsia="Times New Roman" w:hAnsi="Times New Roman" w:cs="Times New Roman"/>
      <w:sz w:val="26"/>
      <w:szCs w:val="20"/>
      <w:lang w:val="en-US"/>
    </w:rPr>
  </w:style>
  <w:style w:type="character" w:customStyle="1" w:styleId="Tijeloteksta3Char">
    <w:name w:val="Tijelo teksta 3 Char"/>
    <w:basedOn w:val="Zadanifontodlomka"/>
    <w:link w:val="Tijeloteksta3"/>
    <w:semiHidden/>
    <w:rsid w:val="00913585"/>
    <w:rPr>
      <w:rFonts w:ascii="Times New Roman" w:eastAsia="Times New Roman" w:hAnsi="Times New Roman" w:cs="Times New Roman"/>
      <w:sz w:val="26"/>
      <w:szCs w:val="20"/>
      <w:lang w:val="en-US"/>
    </w:rPr>
  </w:style>
  <w:style w:type="paragraph" w:styleId="Tekstbalonia">
    <w:name w:val="Balloon Text"/>
    <w:basedOn w:val="Normal"/>
    <w:link w:val="TekstbaloniaChar"/>
    <w:uiPriority w:val="99"/>
    <w:semiHidden/>
    <w:unhideWhenUsed/>
    <w:rsid w:val="001A5A7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A5A76"/>
    <w:rPr>
      <w:rFonts w:ascii="Segoe UI" w:hAnsi="Segoe UI" w:cs="Segoe UI"/>
      <w:sz w:val="18"/>
      <w:szCs w:val="18"/>
    </w:rPr>
  </w:style>
  <w:style w:type="paragraph" w:styleId="Zaglavlje">
    <w:name w:val="header"/>
    <w:basedOn w:val="Normal"/>
    <w:link w:val="ZaglavljeChar"/>
    <w:uiPriority w:val="99"/>
    <w:unhideWhenUsed/>
    <w:rsid w:val="006E41E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E41E7"/>
  </w:style>
  <w:style w:type="paragraph" w:styleId="Podnoje">
    <w:name w:val="footer"/>
    <w:basedOn w:val="Normal"/>
    <w:link w:val="PodnojeChar"/>
    <w:uiPriority w:val="99"/>
    <w:unhideWhenUsed/>
    <w:rsid w:val="006E41E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E41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715E5"/>
    <w:pPr>
      <w:ind w:left="720"/>
      <w:contextualSpacing/>
    </w:pPr>
  </w:style>
  <w:style w:type="paragraph" w:styleId="Bezproreda">
    <w:name w:val="No Spacing"/>
    <w:uiPriority w:val="1"/>
    <w:qFormat/>
    <w:rsid w:val="0080604E"/>
    <w:pPr>
      <w:spacing w:after="0" w:line="240" w:lineRule="auto"/>
    </w:pPr>
  </w:style>
  <w:style w:type="table" w:styleId="Reetkatablice">
    <w:name w:val="Table Grid"/>
    <w:basedOn w:val="Obinatablica"/>
    <w:uiPriority w:val="59"/>
    <w:rsid w:val="008060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jeloteksta3">
    <w:name w:val="Body Text 3"/>
    <w:basedOn w:val="Normal"/>
    <w:link w:val="Tijeloteksta3Char"/>
    <w:semiHidden/>
    <w:rsid w:val="00913585"/>
    <w:pPr>
      <w:spacing w:after="0" w:line="240" w:lineRule="auto"/>
    </w:pPr>
    <w:rPr>
      <w:rFonts w:ascii="Times New Roman" w:eastAsia="Times New Roman" w:hAnsi="Times New Roman" w:cs="Times New Roman"/>
      <w:sz w:val="26"/>
      <w:szCs w:val="20"/>
      <w:lang w:val="en-US"/>
    </w:rPr>
  </w:style>
  <w:style w:type="character" w:customStyle="1" w:styleId="Tijeloteksta3Char">
    <w:name w:val="Tijelo teksta 3 Char"/>
    <w:basedOn w:val="Zadanifontodlomka"/>
    <w:link w:val="Tijeloteksta3"/>
    <w:semiHidden/>
    <w:rsid w:val="00913585"/>
    <w:rPr>
      <w:rFonts w:ascii="Times New Roman" w:eastAsia="Times New Roman" w:hAnsi="Times New Roman" w:cs="Times New Roman"/>
      <w:sz w:val="26"/>
      <w:szCs w:val="20"/>
      <w:lang w:val="en-US"/>
    </w:rPr>
  </w:style>
  <w:style w:type="paragraph" w:styleId="Tekstbalonia">
    <w:name w:val="Balloon Text"/>
    <w:basedOn w:val="Normal"/>
    <w:link w:val="TekstbaloniaChar"/>
    <w:uiPriority w:val="99"/>
    <w:semiHidden/>
    <w:unhideWhenUsed/>
    <w:rsid w:val="001A5A7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A5A76"/>
    <w:rPr>
      <w:rFonts w:ascii="Segoe UI" w:hAnsi="Segoe UI" w:cs="Segoe UI"/>
      <w:sz w:val="18"/>
      <w:szCs w:val="18"/>
    </w:rPr>
  </w:style>
  <w:style w:type="paragraph" w:styleId="Zaglavlje">
    <w:name w:val="header"/>
    <w:basedOn w:val="Normal"/>
    <w:link w:val="ZaglavljeChar"/>
    <w:uiPriority w:val="99"/>
    <w:unhideWhenUsed/>
    <w:rsid w:val="006E41E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E41E7"/>
  </w:style>
  <w:style w:type="paragraph" w:styleId="Podnoje">
    <w:name w:val="footer"/>
    <w:basedOn w:val="Normal"/>
    <w:link w:val="PodnojeChar"/>
    <w:uiPriority w:val="99"/>
    <w:unhideWhenUsed/>
    <w:rsid w:val="006E41E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E4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4176">
      <w:bodyDiv w:val="1"/>
      <w:marLeft w:val="0"/>
      <w:marRight w:val="0"/>
      <w:marTop w:val="0"/>
      <w:marBottom w:val="0"/>
      <w:divBdr>
        <w:top w:val="none" w:sz="0" w:space="0" w:color="auto"/>
        <w:left w:val="none" w:sz="0" w:space="0" w:color="auto"/>
        <w:bottom w:val="none" w:sz="0" w:space="0" w:color="auto"/>
        <w:right w:val="none" w:sz="0" w:space="0" w:color="auto"/>
      </w:divBdr>
    </w:div>
    <w:div w:id="307367519">
      <w:bodyDiv w:val="1"/>
      <w:marLeft w:val="0"/>
      <w:marRight w:val="0"/>
      <w:marTop w:val="0"/>
      <w:marBottom w:val="0"/>
      <w:divBdr>
        <w:top w:val="none" w:sz="0" w:space="0" w:color="auto"/>
        <w:left w:val="none" w:sz="0" w:space="0" w:color="auto"/>
        <w:bottom w:val="none" w:sz="0" w:space="0" w:color="auto"/>
        <w:right w:val="none" w:sz="0" w:space="0" w:color="auto"/>
      </w:divBdr>
    </w:div>
    <w:div w:id="1005278857">
      <w:bodyDiv w:val="1"/>
      <w:marLeft w:val="0"/>
      <w:marRight w:val="0"/>
      <w:marTop w:val="0"/>
      <w:marBottom w:val="0"/>
      <w:divBdr>
        <w:top w:val="none" w:sz="0" w:space="0" w:color="auto"/>
        <w:left w:val="none" w:sz="0" w:space="0" w:color="auto"/>
        <w:bottom w:val="none" w:sz="0" w:space="0" w:color="auto"/>
        <w:right w:val="none" w:sz="0" w:space="0" w:color="auto"/>
      </w:divBdr>
    </w:div>
    <w:div w:id="1111051842">
      <w:bodyDiv w:val="1"/>
      <w:marLeft w:val="0"/>
      <w:marRight w:val="0"/>
      <w:marTop w:val="0"/>
      <w:marBottom w:val="0"/>
      <w:divBdr>
        <w:top w:val="none" w:sz="0" w:space="0" w:color="auto"/>
        <w:left w:val="none" w:sz="0" w:space="0" w:color="auto"/>
        <w:bottom w:val="none" w:sz="0" w:space="0" w:color="auto"/>
        <w:right w:val="none" w:sz="0" w:space="0" w:color="auto"/>
      </w:divBdr>
    </w:div>
    <w:div w:id="1119950994">
      <w:bodyDiv w:val="1"/>
      <w:marLeft w:val="0"/>
      <w:marRight w:val="0"/>
      <w:marTop w:val="0"/>
      <w:marBottom w:val="0"/>
      <w:divBdr>
        <w:top w:val="none" w:sz="0" w:space="0" w:color="auto"/>
        <w:left w:val="none" w:sz="0" w:space="0" w:color="auto"/>
        <w:bottom w:val="none" w:sz="0" w:space="0" w:color="auto"/>
        <w:right w:val="none" w:sz="0" w:space="0" w:color="auto"/>
      </w:divBdr>
    </w:div>
    <w:div w:id="1164510563">
      <w:bodyDiv w:val="1"/>
      <w:marLeft w:val="0"/>
      <w:marRight w:val="0"/>
      <w:marTop w:val="0"/>
      <w:marBottom w:val="0"/>
      <w:divBdr>
        <w:top w:val="none" w:sz="0" w:space="0" w:color="auto"/>
        <w:left w:val="none" w:sz="0" w:space="0" w:color="auto"/>
        <w:bottom w:val="none" w:sz="0" w:space="0" w:color="auto"/>
        <w:right w:val="none" w:sz="0" w:space="0" w:color="auto"/>
      </w:divBdr>
    </w:div>
    <w:div w:id="1797143687">
      <w:bodyDiv w:val="1"/>
      <w:marLeft w:val="0"/>
      <w:marRight w:val="0"/>
      <w:marTop w:val="0"/>
      <w:marBottom w:val="0"/>
      <w:divBdr>
        <w:top w:val="none" w:sz="0" w:space="0" w:color="auto"/>
        <w:left w:val="none" w:sz="0" w:space="0" w:color="auto"/>
        <w:bottom w:val="none" w:sz="0" w:space="0" w:color="auto"/>
        <w:right w:val="none" w:sz="0" w:space="0" w:color="auto"/>
      </w:divBdr>
    </w:div>
    <w:div w:id="1839494664">
      <w:bodyDiv w:val="1"/>
      <w:marLeft w:val="0"/>
      <w:marRight w:val="0"/>
      <w:marTop w:val="0"/>
      <w:marBottom w:val="0"/>
      <w:divBdr>
        <w:top w:val="none" w:sz="0" w:space="0" w:color="auto"/>
        <w:left w:val="none" w:sz="0" w:space="0" w:color="auto"/>
        <w:bottom w:val="none" w:sz="0" w:space="0" w:color="auto"/>
        <w:right w:val="none" w:sz="0" w:space="0" w:color="auto"/>
      </w:divBdr>
    </w:div>
    <w:div w:id="2012829314">
      <w:bodyDiv w:val="1"/>
      <w:marLeft w:val="0"/>
      <w:marRight w:val="0"/>
      <w:marTop w:val="0"/>
      <w:marBottom w:val="0"/>
      <w:divBdr>
        <w:top w:val="none" w:sz="0" w:space="0" w:color="auto"/>
        <w:left w:val="none" w:sz="0" w:space="0" w:color="auto"/>
        <w:bottom w:val="none" w:sz="0" w:space="0" w:color="auto"/>
        <w:right w:val="none" w:sz="0" w:space="0" w:color="auto"/>
      </w:divBdr>
    </w:div>
    <w:div w:id="2036809057">
      <w:bodyDiv w:val="1"/>
      <w:marLeft w:val="0"/>
      <w:marRight w:val="0"/>
      <w:marTop w:val="0"/>
      <w:marBottom w:val="0"/>
      <w:divBdr>
        <w:top w:val="none" w:sz="0" w:space="0" w:color="auto"/>
        <w:left w:val="none" w:sz="0" w:space="0" w:color="auto"/>
        <w:bottom w:val="none" w:sz="0" w:space="0" w:color="auto"/>
        <w:right w:val="none" w:sz="0" w:space="0" w:color="auto"/>
      </w:divBdr>
    </w:div>
    <w:div w:id="210622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E8315-1A7E-4B1D-9666-B9E997F3A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3182</Words>
  <Characters>18138</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Bašelović</dc:creator>
  <cp:keywords/>
  <dc:description/>
  <cp:lastModifiedBy>Ivan</cp:lastModifiedBy>
  <cp:revision>7</cp:revision>
  <cp:lastPrinted>2019-12-03T08:12:00Z</cp:lastPrinted>
  <dcterms:created xsi:type="dcterms:W3CDTF">2019-12-03T10:37:00Z</dcterms:created>
  <dcterms:modified xsi:type="dcterms:W3CDTF">2019-12-13T17:06:00Z</dcterms:modified>
</cp:coreProperties>
</file>